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12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7"/>
        </w:rPr>
      </w:pP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3463745</wp:posOffset>
            </wp:positionH>
            <wp:positionV relativeFrom="paragraph">
              <wp:posOffset>71770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91" w:lineRule="auto" w:before="26"/>
        <w:ind w:left="875" w:right="734" w:firstLine="14"/>
        <w:jc w:val="center"/>
        <w:rPr>
          <w:b/>
          <w:sz w:val="32"/>
        </w:rPr>
      </w:pPr>
      <w:r>
        <w:rPr>
          <w:b/>
          <w:sz w:val="32"/>
        </w:rPr>
        <w:t>1ª SESSÃO LEGISLATIVA DA 20ª LEGISLATURA</w:t>
      </w:r>
      <w:r>
        <w:rPr>
          <w:b/>
          <w:sz w:val="32"/>
        </w:rPr>
        <w:t> 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02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 19ª SESSÃO EXTRAORDINÁRIA</w:t>
      </w:r>
    </w:p>
    <w:p>
      <w:pPr>
        <w:spacing w:line="434" w:lineRule="auto" w:before="0"/>
        <w:ind w:left="3658" w:right="3328" w:firstLine="969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791570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62.328407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32"/>
        </w:rPr>
        <w:t>(II) </w:t>
      </w:r>
      <w:r>
        <w:rPr>
          <w:b/>
          <w:sz w:val="32"/>
        </w:rPr>
        <w:t>ORDEM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DIA</w:t>
      </w:r>
    </w:p>
    <w:p>
      <w:pPr>
        <w:spacing w:line="240" w:lineRule="auto" w:before="88"/>
        <w:rPr>
          <w:b/>
          <w:sz w:val="32"/>
        </w:rPr>
      </w:pPr>
    </w:p>
    <w:p>
      <w:pPr>
        <w:spacing w:line="609" w:lineRule="auto" w:before="0"/>
        <w:ind w:left="3778" w:right="1717" w:hanging="1859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31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OUTUBRO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2023 </w:t>
      </w:r>
      <w:r>
        <w:rPr>
          <w:b/>
          <w:spacing w:val="-2"/>
          <w:sz w:val="32"/>
        </w:rPr>
        <w:t>TERÇA-FEIRA</w:t>
      </w:r>
    </w:p>
    <w:p>
      <w:pPr>
        <w:spacing w:line="240" w:lineRule="auto" w:before="180"/>
        <w:rPr>
          <w:b/>
          <w:sz w:val="32"/>
        </w:rPr>
      </w:pPr>
    </w:p>
    <w:p>
      <w:pPr>
        <w:spacing w:before="0"/>
        <w:ind w:left="59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ITEM</w:t>
      </w:r>
      <w:r>
        <w:rPr>
          <w:b/>
          <w:spacing w:val="-9"/>
          <w:sz w:val="32"/>
          <w:u w:val="single"/>
        </w:rPr>
        <w:t> </w:t>
      </w:r>
      <w:r>
        <w:rPr>
          <w:b/>
          <w:spacing w:val="-5"/>
          <w:sz w:val="32"/>
          <w:u w:val="single"/>
        </w:rPr>
        <w:t>01</w:t>
      </w:r>
    </w:p>
    <w:p>
      <w:pPr>
        <w:spacing w:before="9"/>
        <w:ind w:left="59" w:right="0" w:firstLine="0"/>
        <w:jc w:val="left"/>
        <w:rPr>
          <w:b/>
          <w:sz w:val="32"/>
        </w:rPr>
      </w:pPr>
      <w:r>
        <w:rPr>
          <w:b/>
          <w:sz w:val="32"/>
        </w:rPr>
        <w:t>REDAÇÃO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PROJETO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LEI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906/23.</w:t>
      </w:r>
    </w:p>
    <w:p>
      <w:pPr>
        <w:pStyle w:val="BodyText"/>
        <w:spacing w:before="9"/>
        <w:ind w:left="59" w:right="38"/>
        <w:jc w:val="both"/>
      </w:pPr>
      <w:r>
        <w:rPr>
          <w:rFonts w:ascii="Arial" w:hAnsi="Arial"/>
          <w:b/>
        </w:rPr>
        <w:t>AUTORIA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EXECUTIVO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174/2023. </w:t>
      </w:r>
      <w:r>
        <w:rPr/>
        <w:t>DISPÕE SOBRE AS TRANSFERÊNCIAS OBRIGATÓRIAS DE RECURSOS DO ESTADO DO PARANÁ AOS MUNICÍPIOS PARANAENSES, PARA RESPOSTA E RECUPERAÇÃO EM ÁREAS ATINGIDAS POR DESASTRES, CRIA O </w:t>
      </w:r>
      <w:r>
        <w:rPr/>
        <w:t>FUNDO ESTADUAL PARA CALAMIDADES' PÚBLICAS, E DA OUTRAS </w:t>
      </w:r>
      <w:r>
        <w:rPr>
          <w:spacing w:val="-2"/>
        </w:rPr>
        <w:t>PROVIDÊNCIAS.</w:t>
      </w:r>
    </w:p>
    <w:sectPr>
      <w:type w:val="continuous"/>
      <w:pgSz w:w="11910" w:h="16840"/>
      <w:pgMar w:top="168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2025-05-23T19:30:03Z</dcterms:created>
  <dcterms:modified xsi:type="dcterms:W3CDTF">2025-05-23T19:30:03Z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