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line="240" w:lineRule="auto"/>
        <w:ind w:left="0" w:firstLine="0"/>
        <w:rPr>
          <w:rFonts w:ascii="Times New Roman" w:cs="Times New Roman" w:eastAsia="Times New Roman" w:hAnsi="Times New Roman"/>
          <w:color w:val="000000"/>
          <w:sz w:val="26"/>
          <w:szCs w:val="26"/>
        </w:rPr>
      </w:pPr>
      <w:bookmarkStart w:colFirst="0" w:colLast="0" w:name="_heading=h.jsa8cx1gl358" w:id="0"/>
      <w:bookmarkEnd w:id="0"/>
      <w:r w:rsidDel="00000000" w:rsidR="00000000" w:rsidRPr="00000000">
        <w:rPr>
          <w:rFonts w:ascii="Times New Roman" w:cs="Times New Roman" w:eastAsia="Times New Roman" w:hAnsi="Times New Roman"/>
          <w:color w:val="000000"/>
          <w:sz w:val="26"/>
          <w:szCs w:val="26"/>
          <w:rtl w:val="0"/>
        </w:rPr>
        <w:t xml:space="preserve">3ª SESSÃO LEGISLATIVA DA 20ª LEGISLATURA</w:t>
      </w:r>
    </w:p>
    <w:p w:rsidR="00000000" w:rsidDel="00000000" w:rsidP="00000000" w:rsidRDefault="00000000" w:rsidRPr="00000000" w14:paraId="00000002">
      <w:pPr>
        <w:pStyle w:val="Heading1"/>
        <w:spacing w:line="240" w:lineRule="auto"/>
        <w:ind w:left="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ORDEM DO DIA</w:t>
      </w:r>
    </w:p>
    <w:p w:rsidR="00000000" w:rsidDel="00000000" w:rsidP="00000000" w:rsidRDefault="00000000" w:rsidRPr="00000000" w14:paraId="00000003">
      <w:pPr>
        <w:pStyle w:val="Heading1"/>
        <w:spacing w:line="240" w:lineRule="auto"/>
        <w:ind w:left="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PARA A 56ª SESSÃO ORDINÁRIA</w:t>
      </w:r>
    </w:p>
    <w:p w:rsidR="00000000" w:rsidDel="00000000" w:rsidP="00000000" w:rsidRDefault="00000000" w:rsidRPr="00000000" w14:paraId="00000004">
      <w:pPr>
        <w:spacing w:after="0" w:line="240" w:lineRule="auto"/>
        <w:ind w:right="5"/>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EM 24 DE JUNHO DE 2025</w:t>
      </w:r>
    </w:p>
    <w:p w:rsidR="00000000" w:rsidDel="00000000" w:rsidP="00000000" w:rsidRDefault="00000000" w:rsidRPr="00000000" w14:paraId="00000005">
      <w:pPr>
        <w:spacing w:after="0" w:line="240" w:lineRule="auto"/>
        <w:ind w:right="5"/>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(TERÇA-FEIRA)</w:t>
      </w:r>
    </w:p>
    <w:p w:rsidR="00000000" w:rsidDel="00000000" w:rsidP="00000000" w:rsidRDefault="00000000" w:rsidRPr="00000000" w14:paraId="0000000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7">
      <w:pPr>
        <w:pStyle w:val="Heading2"/>
        <w:spacing w:line="240" w:lineRule="auto"/>
        <w:ind w:left="0" w:firstLine="0"/>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8">
      <w:pPr>
        <w:pStyle w:val="Heading2"/>
        <w:spacing w:line="240" w:lineRule="auto"/>
        <w:ind w:left="0" w:firstLine="0"/>
        <w:jc w:val="cente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PROPOSIÇÕES EM REDAÇÃO FINAL </w:t>
      </w: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B">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Item 1 – Redação Final do Projeto de Lei nº 270/2024.</w:t>
      </w:r>
    </w:p>
    <w:p w:rsidR="00000000" w:rsidDel="00000000" w:rsidP="00000000" w:rsidRDefault="00000000" w:rsidRPr="00000000" w14:paraId="0000000C">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Autoria do Deputado Goura, Deputada Ana Júlia, Deputada Cristina Silvestri, Deputada Luciana Rafagnin, Deputada Mabel Canto, Deputada Maria Victoria, Deputado Alexandre Amaro, Deputado Arilson Chiorato, Deputado Dr. Antenor, Deputado Professor Lemos, Deputado Requião Filho e do Deputado Evandro Araújo. </w:t>
      </w:r>
    </w:p>
    <w:p w:rsidR="00000000" w:rsidDel="00000000" w:rsidP="00000000" w:rsidRDefault="00000000" w:rsidRPr="00000000" w14:paraId="0000000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Institui a Campanha “Abril Laranja - Mês de prevenção contra a crueldade animal”.</w:t>
      </w:r>
    </w:p>
    <w:p w:rsidR="00000000" w:rsidDel="00000000" w:rsidP="00000000" w:rsidRDefault="00000000" w:rsidRPr="00000000" w14:paraId="0000000E">
      <w:pPr>
        <w:spacing w:after="0" w:line="240" w:lineRule="auto"/>
        <w:jc w:val="both"/>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0F">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Item 2 – Redação Final do Projeto de Lei nº 634/2024.</w:t>
      </w:r>
    </w:p>
    <w:p w:rsidR="00000000" w:rsidDel="00000000" w:rsidP="00000000" w:rsidRDefault="00000000" w:rsidRPr="00000000" w14:paraId="00000010">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Autoria do Deputado Alexandre Curi. </w:t>
      </w:r>
    </w:p>
    <w:p w:rsidR="00000000" w:rsidDel="00000000" w:rsidP="00000000" w:rsidRDefault="00000000" w:rsidRPr="00000000" w14:paraId="0000001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Insere no Calendário Oficial de Eventos do Paraná o Festival de Folclore de Quinta do Sol – FEFOSOL.</w:t>
      </w:r>
    </w:p>
    <w:p w:rsidR="00000000" w:rsidDel="00000000" w:rsidP="00000000" w:rsidRDefault="00000000" w:rsidRPr="00000000" w14:paraId="00000012">
      <w:pPr>
        <w:spacing w:after="0" w:line="240" w:lineRule="auto"/>
        <w:jc w:val="both"/>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Item 3 – Redação Final do Projeto de Lei nº 782/2024.</w:t>
      </w:r>
    </w:p>
    <w:p w:rsidR="00000000" w:rsidDel="00000000" w:rsidP="00000000" w:rsidRDefault="00000000" w:rsidRPr="00000000" w14:paraId="00000014">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Autoria do Deputado Tercílio Turini. </w:t>
      </w:r>
    </w:p>
    <w:p w:rsidR="00000000" w:rsidDel="00000000" w:rsidP="00000000" w:rsidRDefault="00000000" w:rsidRPr="00000000" w14:paraId="0000001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Concede o Título de Utilidade Pública ao Conselho Comunitário de Segurança da Região Sul de Londrina - CONSEG SUL de Londrina, com sede no Município de Londrina.</w:t>
      </w:r>
    </w:p>
    <w:p w:rsidR="00000000" w:rsidDel="00000000" w:rsidP="00000000" w:rsidRDefault="00000000" w:rsidRPr="00000000" w14:paraId="00000016">
      <w:pPr>
        <w:spacing w:after="0" w:line="240" w:lineRule="auto"/>
        <w:jc w:val="both"/>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Item 4 – Redação Final do Projeto de Lei nº 303/2025.</w:t>
      </w:r>
    </w:p>
    <w:p w:rsidR="00000000" w:rsidDel="00000000" w:rsidP="00000000" w:rsidRDefault="00000000" w:rsidRPr="00000000" w14:paraId="00000018">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Autoria do Deputado Soldado Adriano José. </w:t>
      </w:r>
    </w:p>
    <w:p w:rsidR="00000000" w:rsidDel="00000000" w:rsidP="00000000" w:rsidRDefault="00000000" w:rsidRPr="00000000" w14:paraId="0000001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Insere no Calendário Oficial de Eventos do Estado do Paraná a ÉFFETA – evento católico que tem por objetivo a evangelização, prevenção e combate às drogas.</w:t>
      </w:r>
    </w:p>
    <w:p w:rsidR="00000000" w:rsidDel="00000000" w:rsidP="00000000" w:rsidRDefault="00000000" w:rsidRPr="00000000" w14:paraId="0000001A">
      <w:pPr>
        <w:spacing w:after="0" w:line="240" w:lineRule="auto"/>
        <w:jc w:val="both"/>
        <w:rPr>
          <w:rFonts w:ascii="Times New Roman" w:cs="Times New Roman" w:eastAsia="Times New Roman" w:hAnsi="Times New Roman"/>
          <w:b w:val="1"/>
          <w:color w:val="c00000"/>
          <w:sz w:val="26"/>
          <w:szCs w:val="26"/>
        </w:rPr>
      </w:pPr>
      <w:r w:rsidDel="00000000" w:rsidR="00000000" w:rsidRPr="00000000">
        <w:rPr>
          <w:rtl w:val="0"/>
        </w:rPr>
      </w:r>
    </w:p>
    <w:p w:rsidR="00000000" w:rsidDel="00000000" w:rsidP="00000000" w:rsidRDefault="00000000" w:rsidRPr="00000000" w14:paraId="0000001B">
      <w:pPr>
        <w:spacing w:after="0" w:line="240" w:lineRule="auto"/>
        <w:jc w:val="both"/>
        <w:rPr>
          <w:rFonts w:ascii="Times New Roman" w:cs="Times New Roman" w:eastAsia="Times New Roman" w:hAnsi="Times New Roman"/>
          <w:b w:val="1"/>
          <w:color w:val="c00000"/>
          <w:sz w:val="26"/>
          <w:szCs w:val="26"/>
        </w:rPr>
      </w:pPr>
      <w:r w:rsidDel="00000000" w:rsidR="00000000" w:rsidRPr="00000000">
        <w:rPr>
          <w:rtl w:val="0"/>
        </w:rPr>
      </w:r>
    </w:p>
    <w:p w:rsidR="00000000" w:rsidDel="00000000" w:rsidP="00000000" w:rsidRDefault="00000000" w:rsidRPr="00000000" w14:paraId="0000001C">
      <w:pPr>
        <w:spacing w:after="0" w:line="240" w:lineRule="auto"/>
        <w:jc w:val="both"/>
        <w:rPr>
          <w:rFonts w:ascii="Times New Roman" w:cs="Times New Roman" w:eastAsia="Times New Roman" w:hAnsi="Times New Roman"/>
          <w:b w:val="1"/>
          <w:color w:val="c00000"/>
          <w:sz w:val="26"/>
          <w:szCs w:val="26"/>
        </w:rPr>
      </w:pPr>
      <w:r w:rsidDel="00000000" w:rsidR="00000000" w:rsidRPr="00000000">
        <w:rPr>
          <w:rtl w:val="0"/>
        </w:rPr>
      </w:r>
    </w:p>
    <w:p w:rsidR="00000000" w:rsidDel="00000000" w:rsidP="00000000" w:rsidRDefault="00000000" w:rsidRPr="00000000" w14:paraId="0000001D">
      <w:pPr>
        <w:spacing w:after="0" w:line="240" w:lineRule="auto"/>
        <w:jc w:val="both"/>
        <w:rPr>
          <w:rFonts w:ascii="Times New Roman" w:cs="Times New Roman" w:eastAsia="Times New Roman" w:hAnsi="Times New Roman"/>
          <w:b w:val="1"/>
          <w:color w:val="c00000"/>
          <w:sz w:val="26"/>
          <w:szCs w:val="26"/>
        </w:rPr>
      </w:pPr>
      <w:r w:rsidDel="00000000" w:rsidR="00000000" w:rsidRPr="00000000">
        <w:rPr>
          <w:rtl w:val="0"/>
        </w:rPr>
      </w:r>
    </w:p>
    <w:p w:rsidR="00000000" w:rsidDel="00000000" w:rsidP="00000000" w:rsidRDefault="00000000" w:rsidRPr="00000000" w14:paraId="0000001E">
      <w:pPr>
        <w:spacing w:after="0" w:line="240" w:lineRule="auto"/>
        <w:jc w:val="both"/>
        <w:rPr>
          <w:rFonts w:ascii="Times New Roman" w:cs="Times New Roman" w:eastAsia="Times New Roman" w:hAnsi="Times New Roman"/>
          <w:b w:val="1"/>
          <w:color w:val="c00000"/>
          <w:sz w:val="26"/>
          <w:szCs w:val="26"/>
        </w:rPr>
      </w:pPr>
      <w:r w:rsidDel="00000000" w:rsidR="00000000" w:rsidRPr="00000000">
        <w:rPr>
          <w:rtl w:val="0"/>
        </w:rPr>
      </w:r>
    </w:p>
    <w:p w:rsidR="00000000" w:rsidDel="00000000" w:rsidP="00000000" w:rsidRDefault="00000000" w:rsidRPr="00000000" w14:paraId="0000001F">
      <w:pPr>
        <w:spacing w:after="0" w:line="240" w:lineRule="auto"/>
        <w:jc w:val="both"/>
        <w:rPr>
          <w:rFonts w:ascii="Times New Roman" w:cs="Times New Roman" w:eastAsia="Times New Roman" w:hAnsi="Times New Roman"/>
          <w:b w:val="1"/>
          <w:color w:val="c00000"/>
          <w:sz w:val="26"/>
          <w:szCs w:val="26"/>
        </w:rPr>
      </w:pPr>
      <w:r w:rsidDel="00000000" w:rsidR="00000000" w:rsidRPr="00000000">
        <w:rPr>
          <w:rtl w:val="0"/>
        </w:rPr>
      </w:r>
    </w:p>
    <w:p w:rsidR="00000000" w:rsidDel="00000000" w:rsidP="00000000" w:rsidRDefault="00000000" w:rsidRPr="00000000" w14:paraId="00000020">
      <w:pPr>
        <w:pStyle w:val="Heading2"/>
        <w:spacing w:line="240" w:lineRule="auto"/>
        <w:ind w:left="0" w:firstLine="0"/>
        <w:jc w:val="cente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PROPOSIÇÕES EM 2º TURNO</w:t>
      </w:r>
      <w:r w:rsidDel="00000000" w:rsidR="00000000" w:rsidRPr="00000000">
        <w:rPr>
          <w:rtl w:val="0"/>
        </w:rPr>
      </w:r>
    </w:p>
    <w:p w:rsidR="00000000" w:rsidDel="00000000" w:rsidP="00000000" w:rsidRDefault="00000000" w:rsidRPr="00000000" w14:paraId="00000021">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022">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Item 5 – 2º Turno do Projeto de Lei nº 260/2025.</w:t>
      </w:r>
    </w:p>
    <w:p w:rsidR="00000000" w:rsidDel="00000000" w:rsidP="00000000" w:rsidRDefault="00000000" w:rsidRPr="00000000" w14:paraId="00000023">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Autoria do Poder Executivo. Mensagem nº 33/2025.</w:t>
      </w:r>
    </w:p>
    <w:p w:rsidR="00000000" w:rsidDel="00000000" w:rsidP="00000000" w:rsidRDefault="00000000" w:rsidRPr="00000000" w14:paraId="0000002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Altera a Lei nº 18.877, de 27 de setembro de 2016, que dispõe sobre o processo administrativo fiscal e o Conselho de Contribuintes e Recursos Fiscais.</w:t>
      </w:r>
    </w:p>
    <w:p w:rsidR="00000000" w:rsidDel="00000000" w:rsidP="00000000" w:rsidRDefault="00000000" w:rsidRPr="00000000" w14:paraId="00000025">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Parecer favorável: C.C.J; Comissão de Finanças e Tributação.</w:t>
      </w:r>
    </w:p>
    <w:p w:rsidR="00000000" w:rsidDel="00000000" w:rsidP="00000000" w:rsidRDefault="00000000" w:rsidRPr="00000000" w14:paraId="00000026">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Emenda de plenário aguardando parecer da C.C.J. </w:t>
      </w:r>
    </w:p>
    <w:p w:rsidR="00000000" w:rsidDel="00000000" w:rsidP="00000000" w:rsidRDefault="00000000" w:rsidRPr="00000000" w14:paraId="00000027">
      <w:pPr>
        <w:spacing w:after="0" w:line="240" w:lineRule="auto"/>
        <w:jc w:val="both"/>
        <w:rPr>
          <w:rFonts w:ascii="Times New Roman" w:cs="Times New Roman" w:eastAsia="Times New Roman" w:hAnsi="Times New Roman"/>
          <w:b w:val="1"/>
          <w:color w:val="c00000"/>
          <w:sz w:val="26"/>
          <w:szCs w:val="26"/>
        </w:rPr>
      </w:pPr>
      <w:r w:rsidDel="00000000" w:rsidR="00000000" w:rsidRPr="00000000">
        <w:rPr>
          <w:rtl w:val="0"/>
        </w:rPr>
      </w:r>
    </w:p>
    <w:p w:rsidR="00000000" w:rsidDel="00000000" w:rsidP="00000000" w:rsidRDefault="00000000" w:rsidRPr="00000000" w14:paraId="00000028">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Item 6 – 2º Turno do Projeto de Lei nº 340/2025.</w:t>
      </w:r>
    </w:p>
    <w:p w:rsidR="00000000" w:rsidDel="00000000" w:rsidP="00000000" w:rsidRDefault="00000000" w:rsidRPr="00000000" w14:paraId="00000029">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Autoria do Tribunal de Justiça do Estado do Paraná. Ofício nº 931/2025.</w:t>
      </w:r>
    </w:p>
    <w:p w:rsidR="00000000" w:rsidDel="00000000" w:rsidP="00000000" w:rsidRDefault="00000000" w:rsidRPr="00000000" w14:paraId="0000002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Altera dispositivos da Lei nº 21.811, de 13 de dezembro de 2023, relativamente aos cargos em comissão e funções comissionadas do Quadro de Pessoal do Poder Judiciário do Estado do Paraná vinculadas à Corregedoria-Geral da Justiça e Corregedoria da Justiça.</w:t>
      </w:r>
    </w:p>
    <w:p w:rsidR="00000000" w:rsidDel="00000000" w:rsidP="00000000" w:rsidRDefault="00000000" w:rsidRPr="00000000" w14:paraId="0000002B">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Parecer favorável: C.C.J; Comissão de Finanças e Tributação.</w:t>
      </w:r>
    </w:p>
    <w:p w:rsidR="00000000" w:rsidDel="00000000" w:rsidP="00000000" w:rsidRDefault="00000000" w:rsidRPr="00000000" w14:paraId="0000002C">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02D">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Item 7 – 2º Turno do Projeto de Resolução nº 7/2025.</w:t>
      </w:r>
    </w:p>
    <w:p w:rsidR="00000000" w:rsidDel="00000000" w:rsidP="00000000" w:rsidRDefault="00000000" w:rsidRPr="00000000" w14:paraId="0000002E">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Autoria da Comissão de Tomada de Contas.</w:t>
      </w:r>
    </w:p>
    <w:p w:rsidR="00000000" w:rsidDel="00000000" w:rsidP="00000000" w:rsidRDefault="00000000" w:rsidRPr="00000000" w14:paraId="0000002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Aprova a Prestação de Contas do Governo do Estado do Paraná, referente ao exercício financeiro de 2023.</w:t>
      </w:r>
    </w:p>
    <w:p w:rsidR="00000000" w:rsidDel="00000000" w:rsidP="00000000" w:rsidRDefault="00000000" w:rsidRPr="00000000" w14:paraId="00000030">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Parecer favorável: Comissão de Tomada de Contas.</w:t>
      </w:r>
    </w:p>
    <w:p w:rsidR="00000000" w:rsidDel="00000000" w:rsidP="00000000" w:rsidRDefault="00000000" w:rsidRPr="00000000" w14:paraId="00000031">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032">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Item 8 – 2º Turno do Projeto de Resolução nº 8/2025.</w:t>
      </w:r>
    </w:p>
    <w:p w:rsidR="00000000" w:rsidDel="00000000" w:rsidP="00000000" w:rsidRDefault="00000000" w:rsidRPr="00000000" w14:paraId="00000033">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Autoria da Comissão de Tomada de Contas.</w:t>
      </w:r>
    </w:p>
    <w:p w:rsidR="00000000" w:rsidDel="00000000" w:rsidP="00000000" w:rsidRDefault="00000000" w:rsidRPr="00000000" w14:paraId="0000003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Aprova a Prestação de Contas Anual do Fundo Especial do Controle Externo do Tribunal de Contas do Estado do Paraná, relativa ao exercício financeiro de 2023.</w:t>
      </w:r>
    </w:p>
    <w:p w:rsidR="00000000" w:rsidDel="00000000" w:rsidP="00000000" w:rsidRDefault="00000000" w:rsidRPr="00000000" w14:paraId="00000035">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Parecer favorável: Comissão de Tomada de Contas.</w:t>
      </w:r>
    </w:p>
    <w:p w:rsidR="00000000" w:rsidDel="00000000" w:rsidP="00000000" w:rsidRDefault="00000000" w:rsidRPr="00000000" w14:paraId="00000036">
      <w:pPr>
        <w:pStyle w:val="Heading2"/>
        <w:spacing w:line="240" w:lineRule="auto"/>
        <w:ind w:left="0" w:firstLine="0"/>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37">
      <w:pPr>
        <w:pStyle w:val="Heading2"/>
        <w:spacing w:line="240" w:lineRule="auto"/>
        <w:ind w:left="0" w:firstLine="0"/>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38">
      <w:pPr>
        <w:pStyle w:val="Heading2"/>
        <w:spacing w:line="240" w:lineRule="auto"/>
        <w:ind w:left="0"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PROPOSIÇÕES EM 1º TURNO</w:t>
      </w:r>
    </w:p>
    <w:p w:rsidR="00000000" w:rsidDel="00000000" w:rsidP="00000000" w:rsidRDefault="00000000" w:rsidRPr="00000000" w14:paraId="00000039">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03A">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Item 9 – 1º Turno do Projeto de Lei nº 414/2025.</w:t>
      </w:r>
    </w:p>
    <w:p w:rsidR="00000000" w:rsidDel="00000000" w:rsidP="00000000" w:rsidRDefault="00000000" w:rsidRPr="00000000" w14:paraId="0000003B">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Autoria do Poder Executivo. Mensagem nº 46/2025.</w:t>
      </w:r>
    </w:p>
    <w:p w:rsidR="00000000" w:rsidDel="00000000" w:rsidP="00000000" w:rsidRDefault="00000000" w:rsidRPr="00000000" w14:paraId="0000003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Altera a estrutura de Cargos Comissionados Executivos, Funções Comissionadas Executivas e Funções Comissionadas de Confiança da Agência de Defesa Agropecuária do Paraná, e dá outras providências.</w:t>
      </w:r>
    </w:p>
    <w:p w:rsidR="00000000" w:rsidDel="00000000" w:rsidP="00000000" w:rsidRDefault="00000000" w:rsidRPr="00000000" w14:paraId="0000003D">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Parecer favorável: C.C.J; Comissão de Finanças e Tributação; Comissão de Agricultura, Pecuária, Abastecimento e Desenvolvimento Rural.</w:t>
      </w:r>
    </w:p>
    <w:p w:rsidR="00000000" w:rsidDel="00000000" w:rsidP="00000000" w:rsidRDefault="00000000" w:rsidRPr="00000000" w14:paraId="0000003E">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03F">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Item 10 – 1º Turno do Projeto de Lei nº 415/2025.</w:t>
      </w:r>
    </w:p>
    <w:p w:rsidR="00000000" w:rsidDel="00000000" w:rsidP="00000000" w:rsidRDefault="00000000" w:rsidRPr="00000000" w14:paraId="00000040">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Autoria do Poder Executivo. Mensagem nº 47/2025.</w:t>
      </w:r>
    </w:p>
    <w:p w:rsidR="00000000" w:rsidDel="00000000" w:rsidP="00000000" w:rsidRDefault="00000000" w:rsidRPr="00000000" w14:paraId="0000004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Altera a Lei nº 20.121, de 31 de dezembro de 2019, que dispõe sobre a incorporação do Instituto Paranaense de Assistência Técnica e Extensão Rural, do Centro Paranaense de Referência em Agroecologia e da Companhia de Desenvolvimento Agropecuário do Paraná pelo Instituto Agronômico do Paraná, e dá outras providências.</w:t>
      </w:r>
    </w:p>
    <w:p w:rsidR="00000000" w:rsidDel="00000000" w:rsidP="00000000" w:rsidRDefault="00000000" w:rsidRPr="00000000" w14:paraId="00000042">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Parecer favorável: C.C.J; Comissão de Finanças e Tributação; Comissão de Agricultura, Pecuária, Abastecimento e Desenvolvimento Rural.</w:t>
      </w:r>
    </w:p>
    <w:p w:rsidR="00000000" w:rsidDel="00000000" w:rsidP="00000000" w:rsidRDefault="00000000" w:rsidRPr="00000000" w14:paraId="00000043">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044">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45">
      <w:pPr>
        <w:pStyle w:val="Heading2"/>
        <w:spacing w:line="240" w:lineRule="auto"/>
        <w:ind w:left="0" w:firstLine="0"/>
        <w:jc w:val="center"/>
        <w:rPr>
          <w:rFonts w:ascii="Times New Roman" w:cs="Times New Roman" w:eastAsia="Times New Roman" w:hAnsi="Times New Roman"/>
          <w:b w:val="0"/>
          <w:color w:val="ff0000"/>
          <w:sz w:val="26"/>
          <w:szCs w:val="26"/>
        </w:rPr>
      </w:pPr>
      <w:r w:rsidDel="00000000" w:rsidR="00000000" w:rsidRPr="00000000">
        <w:rPr>
          <w:rFonts w:ascii="Times New Roman" w:cs="Times New Roman" w:eastAsia="Times New Roman" w:hAnsi="Times New Roman"/>
          <w:sz w:val="26"/>
          <w:szCs w:val="26"/>
          <w:rtl w:val="0"/>
        </w:rPr>
        <w:t xml:space="preserve">PROPOSIÇÕES EM TURNO ÚNICO</w:t>
      </w:r>
      <w:r w:rsidDel="00000000" w:rsidR="00000000" w:rsidRPr="00000000">
        <w:rPr>
          <w:rFonts w:ascii="Times New Roman" w:cs="Times New Roman" w:eastAsia="Times New Roman" w:hAnsi="Times New Roman"/>
          <w:color w:val="ff0000"/>
          <w:sz w:val="26"/>
          <w:szCs w:val="26"/>
          <w:rtl w:val="0"/>
        </w:rPr>
        <w:t xml:space="preserve"> </w:t>
      </w:r>
      <w:r w:rsidDel="00000000" w:rsidR="00000000" w:rsidRPr="00000000">
        <w:rPr>
          <w:rtl w:val="0"/>
        </w:rPr>
      </w:r>
    </w:p>
    <w:p w:rsidR="00000000" w:rsidDel="00000000" w:rsidP="00000000" w:rsidRDefault="00000000" w:rsidRPr="00000000" w14:paraId="00000046">
      <w:pPr>
        <w:spacing w:after="0" w:line="240" w:lineRule="auto"/>
        <w:jc w:val="both"/>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047">
      <w:pPr>
        <w:spacing w:after="0" w:line="240" w:lineRule="auto"/>
        <w:jc w:val="both"/>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48">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Item 11 – Turno Único do Projeto de Lei nº 351/2025.</w:t>
      </w:r>
    </w:p>
    <w:p w:rsidR="00000000" w:rsidDel="00000000" w:rsidP="00000000" w:rsidRDefault="00000000" w:rsidRPr="00000000" w14:paraId="00000049">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Autoria do Deputado Alexandre Curi e do Deputado Ney Leprevost.</w:t>
      </w:r>
    </w:p>
    <w:p w:rsidR="00000000" w:rsidDel="00000000" w:rsidP="00000000" w:rsidRDefault="00000000" w:rsidRPr="00000000" w14:paraId="0000004A">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Concede o Título de Utilidade Pública ao Instituto da Pessoa com Diabetes - IPD, com sede no Município de Curitiba. </w:t>
      </w:r>
      <w:r w:rsidDel="00000000" w:rsidR="00000000" w:rsidRPr="00000000">
        <w:rPr>
          <w:rtl w:val="0"/>
        </w:rPr>
      </w:r>
    </w:p>
    <w:p w:rsidR="00000000" w:rsidDel="00000000" w:rsidP="00000000" w:rsidRDefault="00000000" w:rsidRPr="00000000" w14:paraId="0000004B">
      <w:pPr>
        <w:spacing w:after="0" w:line="240" w:lineRule="auto"/>
        <w:jc w:val="both"/>
        <w:rPr>
          <w:rFonts w:ascii="Times New Roman" w:cs="Times New Roman" w:eastAsia="Times New Roman" w:hAnsi="Times New Roman"/>
          <w:b w:val="1"/>
          <w:sz w:val="26"/>
          <w:szCs w:val="26"/>
        </w:rPr>
      </w:pPr>
      <w:bookmarkStart w:colFirst="0" w:colLast="0" w:name="_heading=h.tx7lb85ye6mc" w:id="1"/>
      <w:bookmarkEnd w:id="1"/>
      <w:r w:rsidDel="00000000" w:rsidR="00000000" w:rsidRPr="00000000">
        <w:rPr>
          <w:rFonts w:ascii="Times New Roman" w:cs="Times New Roman" w:eastAsia="Times New Roman" w:hAnsi="Times New Roman"/>
          <w:b w:val="1"/>
          <w:sz w:val="26"/>
          <w:szCs w:val="26"/>
          <w:rtl w:val="0"/>
        </w:rPr>
        <w:t xml:space="preserve">Parecer favorável: C.C.J.</w:t>
      </w:r>
    </w:p>
    <w:p w:rsidR="00000000" w:rsidDel="00000000" w:rsidP="00000000" w:rsidRDefault="00000000" w:rsidRPr="00000000" w14:paraId="0000004C">
      <w:pPr>
        <w:spacing w:after="0" w:line="240" w:lineRule="auto"/>
        <w:jc w:val="both"/>
        <w:rPr>
          <w:rFonts w:ascii="Times New Roman" w:cs="Times New Roman" w:eastAsia="Times New Roman" w:hAnsi="Times New Roman"/>
          <w:b w:val="1"/>
          <w:sz w:val="26"/>
          <w:szCs w:val="26"/>
        </w:rPr>
      </w:pPr>
      <w:bookmarkStart w:colFirst="0" w:colLast="0" w:name="_heading=h.ykmf2tt5l1yt" w:id="2"/>
      <w:bookmarkEnd w:id="2"/>
      <w:r w:rsidDel="00000000" w:rsidR="00000000" w:rsidRPr="00000000">
        <w:rPr>
          <w:rtl w:val="0"/>
        </w:rPr>
      </w:r>
    </w:p>
    <w:p w:rsidR="00000000" w:rsidDel="00000000" w:rsidP="00000000" w:rsidRDefault="00000000" w:rsidRPr="00000000" w14:paraId="0000004D">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Item 1</w:t>
      </w:r>
      <w:r w:rsidDel="00000000" w:rsidR="00000000" w:rsidRPr="00000000">
        <w:rPr>
          <w:rFonts w:ascii="Times New Roman" w:cs="Times New Roman" w:eastAsia="Times New Roman" w:hAnsi="Times New Roman"/>
          <w:b w:val="1"/>
          <w:sz w:val="26"/>
          <w:szCs w:val="26"/>
          <w:u w:val="single"/>
          <w:rtl w:val="0"/>
        </w:rPr>
        <w:t xml:space="preserve">2</w:t>
      </w:r>
      <w:r w:rsidDel="00000000" w:rsidR="00000000" w:rsidRPr="00000000">
        <w:rPr>
          <w:rFonts w:ascii="Times New Roman" w:cs="Times New Roman" w:eastAsia="Times New Roman" w:hAnsi="Times New Roman"/>
          <w:b w:val="1"/>
          <w:color w:val="000000"/>
          <w:sz w:val="26"/>
          <w:szCs w:val="26"/>
          <w:u w:val="single"/>
          <w:rtl w:val="0"/>
        </w:rPr>
        <w:t xml:space="preserve"> – Turno Único do Projeto de Lei nº 358/2025.</w:t>
      </w:r>
    </w:p>
    <w:p w:rsidR="00000000" w:rsidDel="00000000" w:rsidP="00000000" w:rsidRDefault="00000000" w:rsidRPr="00000000" w14:paraId="0000004E">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Autoria do Deputado Arilson Chiorato, Deputado Alexandre Curi, Deputado Tercílio Turini e da Deputada Cloara Pinheiro. </w:t>
      </w:r>
    </w:p>
    <w:p w:rsidR="00000000" w:rsidDel="00000000" w:rsidP="00000000" w:rsidRDefault="00000000" w:rsidRPr="00000000" w14:paraId="0000004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Concede o Título de Cidadã Honorária do Estado do Paraná à Senhora Doutora Mariangela Hungria da Cunha.</w:t>
      </w:r>
    </w:p>
    <w:p w:rsidR="00000000" w:rsidDel="00000000" w:rsidP="00000000" w:rsidRDefault="00000000" w:rsidRPr="00000000" w14:paraId="00000050">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Parecer favorável: C.C.J.</w:t>
      </w:r>
    </w:p>
    <w:p w:rsidR="00000000" w:rsidDel="00000000" w:rsidP="00000000" w:rsidRDefault="00000000" w:rsidRPr="00000000" w14:paraId="00000051">
      <w:pPr>
        <w:spacing w:after="0" w:line="240" w:lineRule="auto"/>
        <w:jc w:val="both"/>
        <w:rPr>
          <w:rFonts w:ascii="Times New Roman" w:cs="Times New Roman" w:eastAsia="Times New Roman" w:hAnsi="Times New Roman"/>
          <w:b w:val="1"/>
          <w:color w:val="c00000"/>
          <w:sz w:val="26"/>
          <w:szCs w:val="26"/>
        </w:rPr>
      </w:pPr>
      <w:r w:rsidDel="00000000" w:rsidR="00000000" w:rsidRPr="00000000">
        <w:rPr>
          <w:rtl w:val="0"/>
        </w:rPr>
      </w:r>
    </w:p>
    <w:p w:rsidR="00000000" w:rsidDel="00000000" w:rsidP="00000000" w:rsidRDefault="00000000" w:rsidRPr="00000000" w14:paraId="00000052">
      <w:pPr>
        <w:spacing w:after="0" w:line="240" w:lineRule="auto"/>
        <w:jc w:val="both"/>
        <w:rPr>
          <w:rFonts w:ascii="Times New Roman" w:cs="Times New Roman" w:eastAsia="Times New Roman" w:hAnsi="Times New Roman"/>
          <w:b w:val="1"/>
          <w:color w:val="000000"/>
          <w:sz w:val="26"/>
          <w:szCs w:val="26"/>
        </w:rPr>
      </w:pPr>
      <w:bookmarkStart w:colFirst="0" w:colLast="0" w:name="_heading=h.tx7lb85ye6mc" w:id="1"/>
      <w:bookmarkEnd w:id="1"/>
      <w:r w:rsidDel="00000000" w:rsidR="00000000" w:rsidRPr="00000000">
        <w:rPr>
          <w:rtl w:val="0"/>
        </w:rPr>
      </w:r>
    </w:p>
    <w:sectPr>
      <w:headerReference r:id="rId7" w:type="default"/>
      <w:footerReference r:id="rId8" w:type="default"/>
      <w:pgSz w:h="15840" w:w="12240" w:orient="portrait"/>
      <w:pgMar w:bottom="1134" w:top="1701" w:left="1276" w:right="1183" w:header="55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right"/>
      <w:rPr>
        <w:rFonts w:ascii="Times New Roman" w:cs="Times New Roman" w:eastAsia="Times New Roman" w:hAnsi="Times New Roman"/>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pPr>
    <w:r w:rsidDel="00000000" w:rsidR="00000000" w:rsidRPr="00000000">
      <w:rPr/>
      <w:drawing>
        <wp:inline distB="0" distT="0" distL="0" distR="0">
          <wp:extent cx="835948" cy="968558"/>
          <wp:effectExtent b="0" l="0" r="0" t="0"/>
          <wp:docPr descr="Diagrama, Logotipo&#10;&#10;Descrição gerada automaticamente" id="95919319" name="image1.png"/>
          <a:graphic>
            <a:graphicData uri="http://schemas.openxmlformats.org/drawingml/2006/picture">
              <pic:pic>
                <pic:nvPicPr>
                  <pic:cNvPr descr="Diagrama, Logotipo&#10;&#10;Descrição gerada automaticamente" id="0" name="image1.png"/>
                  <pic:cNvPicPr preferRelativeResize="0"/>
                </pic:nvPicPr>
                <pic:blipFill>
                  <a:blip r:embed="rId1"/>
                  <a:srcRect b="0" l="0" r="0" t="0"/>
                  <a:stretch>
                    <a:fillRect/>
                  </a:stretch>
                </pic:blipFill>
                <pic:spPr>
                  <a:xfrm>
                    <a:off x="0" y="0"/>
                    <a:ext cx="835948" cy="968558"/>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Assembleia Legislativa do Estado do Paraná</w:t>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Centro Legislativo Presidente Aníbal Khury</w:t>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rtl w:val="0"/>
      </w:rPr>
      <w:t xml:space="preserve">Diretoria de Assistência ao Plenário </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strike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_BR"/>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59" w:hanging="10"/>
      <w:jc w:val="center"/>
    </w:pPr>
    <w:rPr>
      <w:rFonts w:ascii="Arial" w:cs="Arial" w:eastAsia="Arial" w:hAnsi="Arial"/>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0" w:hanging="10"/>
      <w:jc w:val="left"/>
    </w:pPr>
    <w:rPr>
      <w:rFonts w:ascii="Arial" w:cs="Arial" w:eastAsia="Arial" w:hAnsi="Arial"/>
      <w:b w:val="1"/>
      <w:i w:val="0"/>
      <w:smallCaps w:val="0"/>
      <w:strike w:val="0"/>
      <w:color w:val="000000"/>
      <w:sz w:val="32"/>
      <w:szCs w:val="32"/>
      <w:u w:val="singl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0" w:hanging="10"/>
      <w:jc w:val="left"/>
    </w:pPr>
    <w:rPr>
      <w:rFonts w:ascii="Arial" w:cs="Arial" w:eastAsia="Arial" w:hAnsi="Arial"/>
      <w:b w:val="1"/>
      <w:i w:val="0"/>
      <w:smallCaps w:val="0"/>
      <w:strike w:val="0"/>
      <w:color w:val="000000"/>
      <w:sz w:val="30"/>
      <w:szCs w:val="30"/>
      <w:u w:val="single"/>
      <w:shd w:fill="auto" w:val="clear"/>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character" w:styleId="Ttulo3Char" w:customStyle="1">
    <w:name w:val="Título 3 Char"/>
    <w:link w:val="Ttulo3"/>
    <w:uiPriority w:val="9"/>
    <w:rPr>
      <w:rFonts w:ascii="Arial" w:cs="Arial" w:eastAsia="Arial" w:hAnsi="Arial"/>
      <w:b w:val="1"/>
      <w:color w:val="000000"/>
      <w:sz w:val="30"/>
      <w:u w:color="000000" w:val="single"/>
    </w:rPr>
  </w:style>
  <w:style w:type="character" w:styleId="Ttulo1Char" w:customStyle="1">
    <w:name w:val="Título 1 Char"/>
    <w:link w:val="Ttulo1"/>
    <w:rPr>
      <w:rFonts w:ascii="Arial" w:cs="Arial" w:eastAsia="Arial" w:hAnsi="Arial"/>
      <w:b w:val="1"/>
      <w:color w:val="000000"/>
      <w:sz w:val="32"/>
    </w:rPr>
  </w:style>
  <w:style w:type="character" w:styleId="Ttulo2Char" w:customStyle="1">
    <w:name w:val="Título 2 Char"/>
    <w:link w:val="Ttulo2"/>
    <w:rPr>
      <w:rFonts w:ascii="Arial" w:cs="Arial" w:eastAsia="Arial" w:hAnsi="Arial"/>
      <w:b w:val="1"/>
      <w:color w:val="000000"/>
      <w:sz w:val="32"/>
      <w:u w:color="000000" w:val="single"/>
    </w:rPr>
  </w:style>
  <w:style w:type="paragraph" w:styleId="Cabealho">
    <w:name w:val="header"/>
    <w:basedOn w:val="Normal"/>
    <w:link w:val="CabealhoChar"/>
    <w:uiPriority w:val="99"/>
    <w:unhideWhenUsed w:val="1"/>
    <w:rsid w:val="004F68ED"/>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4F68ED"/>
    <w:rPr>
      <w:rFonts w:ascii="Calibri" w:cs="Calibri" w:eastAsia="Calibri" w:hAnsi="Calibri"/>
      <w:color w:val="000000"/>
      <w:sz w:val="22"/>
      <w:lang w:bidi="pt-BR"/>
    </w:rPr>
  </w:style>
  <w:style w:type="paragraph" w:styleId="Rodap">
    <w:name w:val="footer"/>
    <w:basedOn w:val="Normal"/>
    <w:link w:val="RodapChar"/>
    <w:uiPriority w:val="99"/>
    <w:unhideWhenUsed w:val="1"/>
    <w:rsid w:val="004F68ED"/>
    <w:pPr>
      <w:tabs>
        <w:tab w:val="center" w:pos="4252"/>
        <w:tab w:val="right" w:pos="8504"/>
      </w:tabs>
      <w:spacing w:after="0" w:line="240" w:lineRule="auto"/>
    </w:pPr>
  </w:style>
  <w:style w:type="character" w:styleId="RodapChar" w:customStyle="1">
    <w:name w:val="Rodapé Char"/>
    <w:basedOn w:val="Fontepargpadro"/>
    <w:link w:val="Rodap"/>
    <w:uiPriority w:val="99"/>
    <w:rsid w:val="004F68ED"/>
    <w:rPr>
      <w:rFonts w:ascii="Calibri" w:cs="Calibri" w:eastAsia="Calibri" w:hAnsi="Calibri"/>
      <w:color w:val="000000"/>
      <w:sz w:val="22"/>
      <w:lang w:bidi="pt-BR"/>
    </w:rPr>
  </w:style>
  <w:style w:type="paragraph" w:styleId="PargrafodaLista">
    <w:name w:val="List Paragraph"/>
    <w:basedOn w:val="Normal"/>
    <w:uiPriority w:val="34"/>
    <w:qFormat w:val="1"/>
    <w:rsid w:val="004F68ED"/>
    <w:pPr>
      <w:ind w:left="720"/>
      <w:contextualSpacing w:val="1"/>
    </w:pPr>
  </w:style>
  <w:style w:type="paragraph" w:styleId="Textodebalo">
    <w:name w:val="Balloon Text"/>
    <w:basedOn w:val="Normal"/>
    <w:link w:val="TextodebaloChar"/>
    <w:uiPriority w:val="99"/>
    <w:semiHidden w:val="1"/>
    <w:unhideWhenUsed w:val="1"/>
    <w:rsid w:val="00B46C00"/>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B46C00"/>
    <w:rPr>
      <w:rFonts w:ascii="Segoe UI" w:cs="Segoe UI" w:eastAsia="Calibri" w:hAnsi="Segoe UI"/>
      <w:color w:val="000000"/>
      <w:sz w:val="18"/>
      <w:szCs w:val="18"/>
      <w:lang w:bidi="pt-BR"/>
    </w:rPr>
  </w:style>
  <w:style w:type="character" w:styleId="highlight" w:customStyle="1">
    <w:name w:val="highlight"/>
    <w:basedOn w:val="Fontepargpadro"/>
    <w:rsid w:val="00CD730D"/>
  </w:style>
  <w:style w:type="paragraph" w:styleId="font-weight-bold" w:customStyle="1">
    <w:name w:val="font-weight-bold"/>
    <w:basedOn w:val="Normal"/>
    <w:rsid w:val="00373B7E"/>
    <w:pPr>
      <w:spacing w:after="100" w:afterAutospacing="1" w:before="100" w:beforeAutospacing="1" w:line="240" w:lineRule="auto"/>
    </w:pPr>
    <w:rPr>
      <w:rFonts w:ascii="Times New Roman" w:cs="Times New Roman" w:eastAsia="Times New Roman" w:hAnsi="Times New Roman"/>
      <w:color w:val="auto"/>
      <w:sz w:val="24"/>
      <w:szCs w:val="24"/>
      <w:lang w:bidi="ar-SA"/>
    </w:rPr>
  </w:style>
  <w:style w:type="paragraph" w:styleId="NormalWeb">
    <w:name w:val="Normal (Web)"/>
    <w:basedOn w:val="Normal"/>
    <w:uiPriority w:val="99"/>
    <w:semiHidden w:val="1"/>
    <w:unhideWhenUsed w:val="1"/>
    <w:rsid w:val="00373B7E"/>
    <w:pPr>
      <w:spacing w:after="100" w:afterAutospacing="1" w:before="100" w:beforeAutospacing="1" w:line="240" w:lineRule="auto"/>
    </w:pPr>
    <w:rPr>
      <w:rFonts w:ascii="Times New Roman" w:cs="Times New Roman" w:eastAsia="Times New Roman" w:hAnsi="Times New Roman"/>
      <w:color w:val="auto"/>
      <w:sz w:val="24"/>
      <w:szCs w:val="24"/>
      <w:lang w:bidi="ar-SA"/>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ARe+b6BvqZqog9xBiKxDuDiRGg==">CgMxLjAyDmguanNhOGN4MWdsMzU4Mg5oLnR4N2xiODV5ZTZtYzIOaC55a21mMnR0NWwxeXQyDmgudHg3bGI4NXllNm1jOAByITFILXlqaGhsZHVXZ3VTSDJJTTdxU0lMM2hFaWRrOFpCVQ==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2025-06-23T20:04:00Z</dcterms:created>
  <dc:creator>alep</dc:creator>
</cp:coreProperties>
</file>