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1145D2" w:rsidRDefault="00CF519D" w:rsidP="001145D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1145D2" w:rsidRDefault="00D06F42" w:rsidP="001145D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80D1B3E" w:rsidR="000E1EE7" w:rsidRPr="001145D2" w:rsidRDefault="00E26459" w:rsidP="001145D2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FE052D"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3</w:t>
      </w:r>
      <w:r w:rsidR="004A0987"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D06F42"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3C18B4F5" w:rsidR="00091FE8" w:rsidRPr="001145D2" w:rsidRDefault="00091FE8" w:rsidP="001145D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4A0987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27</w:t>
      </w:r>
      <w:r w:rsidR="00B74D30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ABRIL</w:t>
      </w:r>
      <w:r w:rsidR="00A75235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323B03C7" w:rsidR="009721A1" w:rsidRPr="001145D2" w:rsidRDefault="00091FE8" w:rsidP="001145D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4A0987"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A5507A"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493B2EF9" w14:textId="77777777" w:rsidR="00D46BFC" w:rsidRPr="001145D2" w:rsidRDefault="00D46BFC" w:rsidP="001145D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00EF4F7" w14:textId="77777777" w:rsidR="00BA10FE" w:rsidRPr="001145D2" w:rsidRDefault="00BA10FE" w:rsidP="001145D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9BF5C9B" w14:textId="624D5179" w:rsidR="0005788D" w:rsidRPr="001145D2" w:rsidRDefault="0005788D" w:rsidP="001145D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D46BFC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REDAÇÃO FINAL</w:t>
      </w:r>
    </w:p>
    <w:p w14:paraId="61D8ED59" w14:textId="77777777" w:rsidR="009721A1" w:rsidRPr="001145D2" w:rsidRDefault="009721A1" w:rsidP="001145D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FE5FAF8" w14:textId="77777777" w:rsidR="004A0987" w:rsidRPr="001145D2" w:rsidRDefault="0005788D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Projeto de Lei </w:t>
      </w:r>
      <w:r w:rsidR="004A0987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218/2024.</w:t>
      </w:r>
    </w:p>
    <w:p w14:paraId="14D9F448" w14:textId="77777777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Ney Leprevost.</w:t>
      </w:r>
    </w:p>
    <w:p w14:paraId="087D2F1F" w14:textId="77777777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Política Estadual de Prevenção do Acidente Vascular Cerebral – AVC e de Apoio às Vítimas, no Estado, e dá outras providências.</w:t>
      </w:r>
    </w:p>
    <w:p w14:paraId="6288BDAA" w14:textId="77777777" w:rsidR="004A0987" w:rsidRPr="001145D2" w:rsidRDefault="004A0987" w:rsidP="001145D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3E2A9A4" w14:textId="77777777" w:rsidR="00EC35FC" w:rsidRPr="001145D2" w:rsidRDefault="00EC35FC" w:rsidP="001145D2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2EF088" w14:textId="16DC8D64" w:rsidR="00761F39" w:rsidRPr="001145D2" w:rsidRDefault="00761F39" w:rsidP="001145D2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</w:t>
      </w:r>
      <w:r w:rsidR="00D24750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Ç</w:t>
      </w:r>
      <w:r w:rsidR="00CC3A46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A5507A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11B18E81" w14:textId="77777777" w:rsidR="00C56F16" w:rsidRPr="001145D2" w:rsidRDefault="00C56F16" w:rsidP="001145D2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7169B3A3" w14:textId="77777777" w:rsidR="004A0987" w:rsidRPr="001145D2" w:rsidRDefault="0091132F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A0987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A5507A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Projeto de Lei </w:t>
      </w:r>
      <w:r w:rsidR="004A0987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242/2026.</w:t>
      </w:r>
    </w:p>
    <w:p w14:paraId="7F1D656E" w14:textId="77777777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13/2026.</w:t>
      </w:r>
    </w:p>
    <w:p w14:paraId="25C9187C" w14:textId="77777777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a Lei Orgânica da Polícia Civil do Estado do Paraná, e dá outras providências.</w:t>
      </w:r>
    </w:p>
    <w:p w14:paraId="1ABC57A4" w14:textId="0AD6CFFD" w:rsidR="0091132F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Tributação; Comissão de Segurança Pública, com emenda.</w:t>
      </w:r>
    </w:p>
    <w:p w14:paraId="2240DD3D" w14:textId="77777777" w:rsidR="004C35A3" w:rsidRPr="001145D2" w:rsidRDefault="004C35A3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2ADEFB2" w14:textId="21F7335E" w:rsidR="004C35A3" w:rsidRPr="001145D2" w:rsidRDefault="004C35A3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A0987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CC3A46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 do Projeto de Lei nº</w:t>
      </w:r>
      <w:r w:rsidR="007E1CAE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350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/2026.</w:t>
      </w:r>
    </w:p>
    <w:p w14:paraId="35D13DA1" w14:textId="264208F4" w:rsidR="004C35A3" w:rsidRPr="001145D2" w:rsidRDefault="004C35A3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23/2026.</w:t>
      </w:r>
      <w:r w:rsidR="007E1CAE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Regime de Urgência. </w:t>
      </w:r>
    </w:p>
    <w:p w14:paraId="37362BA5" w14:textId="77777777" w:rsidR="004C35A3" w:rsidRPr="001145D2" w:rsidRDefault="004C35A3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color w:val="auto"/>
          <w:sz w:val="26"/>
          <w:szCs w:val="26"/>
        </w:rPr>
        <w:t>Autoriza a concessão de subvenção econômica às empresas situadas nas áreas atingidas pela calamidade pública reconhecida pelo Decreto nº 11.838, de 8 de novembro de 2025, no Município de Rio Bonito do Iguaçu.</w:t>
      </w:r>
      <w:bookmarkStart w:id="3" w:name="_GoBack"/>
      <w:bookmarkEnd w:id="3"/>
    </w:p>
    <w:p w14:paraId="343530D5" w14:textId="228D5198" w:rsidR="004C35A3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Tributação; Comissão de Indústria, Comércio, Emprego e Renda.</w:t>
      </w:r>
    </w:p>
    <w:p w14:paraId="09E71E00" w14:textId="030BF19C" w:rsidR="00F51098" w:rsidRPr="001145D2" w:rsidRDefault="00F51098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aguardando parecer da Comissão de Constituição e Justiça. </w:t>
      </w:r>
    </w:p>
    <w:p w14:paraId="1BAD12E4" w14:textId="77777777" w:rsidR="003B36A5" w:rsidRPr="001145D2" w:rsidRDefault="003B36A5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992E599" w14:textId="77777777" w:rsidR="00EC35FC" w:rsidRPr="001145D2" w:rsidRDefault="00EC35FC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F4852F" w14:textId="77777777" w:rsidR="005725C0" w:rsidRPr="001145D2" w:rsidRDefault="005725C0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3E9498B" w14:textId="77777777" w:rsidR="005725C0" w:rsidRPr="001145D2" w:rsidRDefault="005725C0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7B739A2" w14:textId="77777777" w:rsidR="005725C0" w:rsidRPr="001145D2" w:rsidRDefault="005725C0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2AB10E" w14:textId="77777777" w:rsidR="005725C0" w:rsidRPr="001145D2" w:rsidRDefault="005725C0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FD71836" w14:textId="77777777" w:rsidR="005725C0" w:rsidRPr="001145D2" w:rsidRDefault="005725C0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2"/>
    <w:p w14:paraId="48B50F15" w14:textId="63D91FFD" w:rsidR="00D252BE" w:rsidRPr="001145D2" w:rsidRDefault="003B36A5" w:rsidP="001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PROPOSIÇÕES</w:t>
      </w:r>
      <w:r w:rsidR="00D252BE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8EB0777" w14:textId="77777777" w:rsidR="00D252BE" w:rsidRPr="001145D2" w:rsidRDefault="00D252BE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C3D2856" w14:textId="6CA6EAB2" w:rsidR="00D252BE" w:rsidRPr="001145D2" w:rsidRDefault="00D252BE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4A0987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Projeto de Lei </w:t>
      </w:r>
      <w:r w:rsidR="004A0987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262/2025.</w:t>
      </w:r>
    </w:p>
    <w:p w14:paraId="787FB3F7" w14:textId="49E75683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Gugu Bueno, do Deputado Artagão Júnior, do Deputado Batatinha, do Deputado </w:t>
      </w:r>
      <w:proofErr w:type="spellStart"/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Delegado </w:t>
      </w:r>
      <w:proofErr w:type="spellStart"/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Jacovós</w:t>
      </w:r>
      <w:proofErr w:type="spellEnd"/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, do Deputado Delegado Tito </w:t>
      </w:r>
      <w:proofErr w:type="spellStart"/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Barichello</w:t>
      </w:r>
      <w:proofErr w:type="spellEnd"/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do Deputado Evandro Araújo, do Deputado Gilberto Ribeiro, do Deputado Marcio Pacheco, do Deputado Professor Lemos, do Deputado Requião F</w:t>
      </w:r>
      <w:r w:rsidR="00C1376C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ilho, do Deputado Jairo </w:t>
      </w:r>
      <w:proofErr w:type="spellStart"/>
      <w:r w:rsidR="00C1376C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Tamura</w:t>
      </w:r>
      <w:proofErr w:type="spellEnd"/>
      <w:r w:rsidR="00C1376C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e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Dr. Leônidas.</w:t>
      </w:r>
    </w:p>
    <w:p w14:paraId="7F6D43BF" w14:textId="5C6FCBFD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a cooperação entre o Estado do Paraná e os Municípios para o fortalecimento das Guardas Municipais, por meio da transferência de recursos financeiros e bens móveis, e dá outras providências.</w:t>
      </w:r>
    </w:p>
    <w:p w14:paraId="199F66F0" w14:textId="2F79A99B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Segurança Pública; Comissão de Finanças e Tributação.</w:t>
      </w:r>
    </w:p>
    <w:p w14:paraId="5B863C08" w14:textId="77777777" w:rsidR="00D252BE" w:rsidRPr="001145D2" w:rsidRDefault="00D252BE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6825E1F" w14:textId="06790B9C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5 – 1º Turno do Projeto de Lei nº 3/2026.</w:t>
      </w:r>
    </w:p>
    <w:p w14:paraId="79514A58" w14:textId="14E33DF5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292/2026.</w:t>
      </w:r>
    </w:p>
    <w:p w14:paraId="7FD260E3" w14:textId="15CACBAD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Altera a Lei n.º 17.250, de 31 de julho de 2012, a Lei n.º 17.474, de 2 de janeiro de 2013, a Lei </w:t>
      </w:r>
      <w:proofErr w:type="spellStart"/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n.°</w:t>
      </w:r>
      <w:proofErr w:type="spellEnd"/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17.532, de 9 de abril de 2013, e Lei n.º 22.541, de 5 de agosto de 2025, e estabelece outras providências.</w:t>
      </w:r>
    </w:p>
    <w:p w14:paraId="3D5D89C3" w14:textId="1B510109" w:rsidR="0045527B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3177BC51" w14:textId="77777777" w:rsidR="0004341F" w:rsidRPr="001145D2" w:rsidRDefault="0004341F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F02399" w14:textId="77777777" w:rsidR="00EC35FC" w:rsidRPr="001145D2" w:rsidRDefault="00EC35FC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4DA3032" w14:textId="77777777" w:rsidR="0004341F" w:rsidRPr="001145D2" w:rsidRDefault="0004341F" w:rsidP="00114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10B70DBF" w14:textId="77777777" w:rsidR="004A0987" w:rsidRPr="001145D2" w:rsidRDefault="004A0987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bookmarkEnd w:id="1"/>
    <w:p w14:paraId="1AAFE2AD" w14:textId="16655A48" w:rsidR="00A5507A" w:rsidRPr="001145D2" w:rsidRDefault="00115EFB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8344D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="00DB6FAE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Turno</w:t>
      </w:r>
      <w:r w:rsidR="00DB6FAE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Único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do Projeto de Lei </w:t>
      </w:r>
      <w:r w:rsidR="00C7636C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nº </w:t>
      </w:r>
      <w:r w:rsidR="008E05BB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472</w:t>
      </w:r>
      <w:r w:rsidR="00FE052D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="00C7636C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51664D4D" w14:textId="2DF2C0E5" w:rsidR="00C7636C" w:rsidRPr="001145D2" w:rsidRDefault="00C7636C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FE052D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 Cobra Repórter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426DB967" w14:textId="77777777" w:rsidR="00A8344D" w:rsidRPr="001145D2" w:rsidRDefault="008E05BB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Estado do Paraná a Festa do Padroeiro São João Batista</w:t>
      </w:r>
      <w:r w:rsidR="00A8344D"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35C74568" w14:textId="4180746D" w:rsidR="00115EFB" w:rsidRPr="001145D2" w:rsidRDefault="00C7636C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Cultura.</w:t>
      </w:r>
    </w:p>
    <w:p w14:paraId="7FE31F39" w14:textId="77777777" w:rsidR="00115EFB" w:rsidRPr="001145D2" w:rsidRDefault="00115EFB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147C57B" w14:textId="00C22EB0" w:rsidR="009721A1" w:rsidRPr="001145D2" w:rsidRDefault="00E77098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A8344D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8E05BB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661</w:t>
      </w:r>
      <w:r w:rsidR="0091132F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="009721A1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63319248" w:rsidR="005B1957" w:rsidRPr="001145D2" w:rsidRDefault="00E77098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C7636C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8E05BB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 </w:t>
      </w:r>
      <w:r w:rsidR="00C7636C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Deputad</w:t>
      </w:r>
      <w:r w:rsidR="008E05BB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</w:t>
      </w:r>
      <w:r w:rsidR="00C7636C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8E05BB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Maria Victoria.</w:t>
      </w:r>
    </w:p>
    <w:p w14:paraId="5BA993FC" w14:textId="61B5F367" w:rsidR="0091132F" w:rsidRPr="001145D2" w:rsidRDefault="008E05BB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color w:val="auto"/>
          <w:sz w:val="26"/>
          <w:szCs w:val="26"/>
        </w:rPr>
        <w:t>Institui o Dia do Cozinheiro e do Auxiliar de Cozinha, a ser comemorado, anualmente, no dia 10 de maio, no âmbito do Estado do Paraná.</w:t>
      </w:r>
    </w:p>
    <w:p w14:paraId="6F5BBC60" w14:textId="275ADF5F" w:rsidR="001643CD" w:rsidRPr="001145D2" w:rsidRDefault="00E77098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8E05BB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BDC20EE" w14:textId="77777777" w:rsidR="000E265F" w:rsidRPr="001145D2" w:rsidRDefault="000E265F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09C8BD51" w14:textId="77777777" w:rsidR="005725C0" w:rsidRPr="001145D2" w:rsidRDefault="005725C0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A78AD7B" w14:textId="0BBD96FC" w:rsidR="00D24750" w:rsidRPr="001145D2" w:rsidRDefault="00D24750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A8344D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F255D8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="008E05BB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08</w:t>
      </w:r>
      <w:r w:rsidR="000E265F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D0B8F8D" w14:textId="1C00C58C" w:rsidR="004A7681" w:rsidRPr="001145D2" w:rsidRDefault="00D24750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8E05BB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Anibelli Neto</w:t>
      </w:r>
      <w:r w:rsidR="000E265F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5DCE9EF8" w14:textId="14BE89DA" w:rsidR="00446013" w:rsidRPr="001145D2" w:rsidRDefault="008E05BB" w:rsidP="001145D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color w:val="auto"/>
          <w:sz w:val="26"/>
          <w:szCs w:val="26"/>
        </w:rPr>
        <w:t xml:space="preserve">Insere no Calendário Oficial de Eventos Turísticos do Estado do Paraná o Encontro de </w:t>
      </w:r>
      <w:proofErr w:type="spellStart"/>
      <w:r w:rsidRPr="001145D2">
        <w:rPr>
          <w:rFonts w:ascii="Times New Roman" w:hAnsi="Times New Roman" w:cs="Times New Roman"/>
          <w:color w:val="auto"/>
          <w:sz w:val="26"/>
          <w:szCs w:val="26"/>
        </w:rPr>
        <w:t>Trilheiros</w:t>
      </w:r>
      <w:proofErr w:type="spellEnd"/>
      <w:r w:rsidRPr="001145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145D2">
        <w:rPr>
          <w:rFonts w:ascii="Times New Roman" w:hAnsi="Times New Roman" w:cs="Times New Roman"/>
          <w:color w:val="auto"/>
          <w:sz w:val="26"/>
          <w:szCs w:val="26"/>
        </w:rPr>
        <w:t>Agudolama</w:t>
      </w:r>
      <w:proofErr w:type="spellEnd"/>
      <w:r w:rsidRPr="001145D2">
        <w:rPr>
          <w:rFonts w:ascii="Times New Roman" w:hAnsi="Times New Roman" w:cs="Times New Roman"/>
          <w:color w:val="auto"/>
          <w:sz w:val="26"/>
          <w:szCs w:val="26"/>
        </w:rPr>
        <w:t>, do Município de Agudos do Sul.</w:t>
      </w:r>
      <w:r w:rsidR="002A58A0" w:rsidRPr="001145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46013" w:rsidRPr="001145D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45D0ACCF" w14:textId="2441FC6D" w:rsidR="004A7681" w:rsidRPr="001145D2" w:rsidRDefault="00D24750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Comissão de Constituição e Justiça; </w:t>
      </w:r>
      <w:r w:rsidR="008E05BB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Turismo.</w:t>
      </w:r>
    </w:p>
    <w:p w14:paraId="3BC93414" w14:textId="77777777" w:rsidR="008E05BB" w:rsidRPr="001145D2" w:rsidRDefault="008E05BB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0F3B72B" w14:textId="164D8A45" w:rsidR="008E05BB" w:rsidRPr="001145D2" w:rsidRDefault="008E05BB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</w:t>
      </w:r>
      <w:r w:rsidR="00A8344D"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9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970/2025.</w:t>
      </w:r>
    </w:p>
    <w:p w14:paraId="2E8DEADB" w14:textId="08ED0813" w:rsidR="008E05BB" w:rsidRPr="001145D2" w:rsidRDefault="008E05BB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Paulino.</w:t>
      </w:r>
    </w:p>
    <w:p w14:paraId="35C93337" w14:textId="61674797" w:rsidR="008E05BB" w:rsidRPr="001145D2" w:rsidRDefault="008E05BB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Insere, no Calendário Oficial de Eventos Turísticos do Paraná, a Expo Motorhome, realizada anualmente no Município de Pinhais, no mês de novembro.</w:t>
      </w:r>
    </w:p>
    <w:p w14:paraId="773D0FCF" w14:textId="2506D1CB" w:rsidR="008E05BB" w:rsidRPr="001145D2" w:rsidRDefault="008E05BB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Indústria, Comércio, Emprego e Renda.</w:t>
      </w:r>
    </w:p>
    <w:p w14:paraId="25084441" w14:textId="77777777" w:rsidR="00A8344D" w:rsidRPr="001145D2" w:rsidRDefault="00A8344D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34C41EE1" w14:textId="1639CCAD" w:rsidR="00A8344D" w:rsidRPr="001145D2" w:rsidRDefault="00A8344D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10 – Turno Único do Projeto de Lei nº 101/2026.</w:t>
      </w:r>
    </w:p>
    <w:p w14:paraId="62E174E1" w14:textId="77777777" w:rsidR="00A8344D" w:rsidRPr="001145D2" w:rsidRDefault="00A8344D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Alexandre Curi.</w:t>
      </w:r>
    </w:p>
    <w:p w14:paraId="7E4DBF17" w14:textId="77777777" w:rsidR="00A8344D" w:rsidRPr="001145D2" w:rsidRDefault="00A8344D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Conselheiro </w:t>
      </w:r>
      <w:proofErr w:type="spellStart"/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Artagão</w:t>
      </w:r>
      <w:proofErr w:type="spellEnd"/>
      <w:r w:rsidRPr="001145D2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de Mattos Leão trecho rodoviário na PR-535, conforme especifica, e altera a Lei nº 9.325, de 12 de julho de 1990.</w:t>
      </w:r>
    </w:p>
    <w:p w14:paraId="07A8D004" w14:textId="77777777" w:rsidR="00A8344D" w:rsidRPr="001145D2" w:rsidRDefault="00A8344D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145D2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1145D2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Obras Públicas, Transportes e Comunicação.</w:t>
      </w:r>
    </w:p>
    <w:p w14:paraId="45BE68B7" w14:textId="77777777" w:rsidR="00A8344D" w:rsidRPr="001145D2" w:rsidRDefault="00A8344D" w:rsidP="001145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A8344D" w:rsidRPr="001145D2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05D80" w14:textId="77777777" w:rsidR="00126E45" w:rsidRDefault="00126E45">
      <w:pPr>
        <w:spacing w:after="0" w:line="240" w:lineRule="auto"/>
      </w:pPr>
      <w:r>
        <w:separator/>
      </w:r>
    </w:p>
  </w:endnote>
  <w:endnote w:type="continuationSeparator" w:id="0">
    <w:p w14:paraId="2359A1C6" w14:textId="77777777" w:rsidR="00126E45" w:rsidRDefault="0012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E958" w14:textId="77777777" w:rsidR="00126E45" w:rsidRDefault="00126E45">
      <w:pPr>
        <w:spacing w:after="0" w:line="240" w:lineRule="auto"/>
      </w:pPr>
      <w:r>
        <w:separator/>
      </w:r>
    </w:p>
  </w:footnote>
  <w:footnote w:type="continuationSeparator" w:id="0">
    <w:p w14:paraId="12B55E9C" w14:textId="77777777" w:rsidR="00126E45" w:rsidRDefault="0012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341F"/>
    <w:rsid w:val="000440B1"/>
    <w:rsid w:val="000442C1"/>
    <w:rsid w:val="00045533"/>
    <w:rsid w:val="000459F1"/>
    <w:rsid w:val="00045C8E"/>
    <w:rsid w:val="00047A1B"/>
    <w:rsid w:val="00052AC1"/>
    <w:rsid w:val="00055212"/>
    <w:rsid w:val="00055323"/>
    <w:rsid w:val="00055E7C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45D2"/>
    <w:rsid w:val="001156C9"/>
    <w:rsid w:val="00115EFB"/>
    <w:rsid w:val="001167B6"/>
    <w:rsid w:val="00116818"/>
    <w:rsid w:val="00120AA0"/>
    <w:rsid w:val="001231A3"/>
    <w:rsid w:val="00123F05"/>
    <w:rsid w:val="00124850"/>
    <w:rsid w:val="001260DA"/>
    <w:rsid w:val="00126E45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4E54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4AD5"/>
    <w:rsid w:val="0054511D"/>
    <w:rsid w:val="0054557D"/>
    <w:rsid w:val="0054626C"/>
    <w:rsid w:val="005479AE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25C0"/>
    <w:rsid w:val="0057427F"/>
    <w:rsid w:val="0057460F"/>
    <w:rsid w:val="0057497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830"/>
    <w:rsid w:val="005D2E40"/>
    <w:rsid w:val="005D44F4"/>
    <w:rsid w:val="005D587B"/>
    <w:rsid w:val="005D64EA"/>
    <w:rsid w:val="005D6982"/>
    <w:rsid w:val="005D6A17"/>
    <w:rsid w:val="005E03D4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CAE"/>
    <w:rsid w:val="007E3084"/>
    <w:rsid w:val="007E3DB8"/>
    <w:rsid w:val="007E3E20"/>
    <w:rsid w:val="007E4275"/>
    <w:rsid w:val="007E4995"/>
    <w:rsid w:val="007E4CB2"/>
    <w:rsid w:val="007E5085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35B31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90F"/>
    <w:rsid w:val="008B2AE0"/>
    <w:rsid w:val="008B32EB"/>
    <w:rsid w:val="008B39E7"/>
    <w:rsid w:val="008C51D8"/>
    <w:rsid w:val="008C5285"/>
    <w:rsid w:val="008D21AE"/>
    <w:rsid w:val="008D2FF1"/>
    <w:rsid w:val="008D34A5"/>
    <w:rsid w:val="008D4A6C"/>
    <w:rsid w:val="008D6CDB"/>
    <w:rsid w:val="008D7E8C"/>
    <w:rsid w:val="008E05BB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0E20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FDF"/>
    <w:rsid w:val="00992163"/>
    <w:rsid w:val="00992F5D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344D"/>
    <w:rsid w:val="00A84263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10FE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252B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505C8"/>
    <w:rsid w:val="00E532B6"/>
    <w:rsid w:val="00E53413"/>
    <w:rsid w:val="00E554AA"/>
    <w:rsid w:val="00E55581"/>
    <w:rsid w:val="00E55800"/>
    <w:rsid w:val="00E5748C"/>
    <w:rsid w:val="00E61869"/>
    <w:rsid w:val="00E61AA1"/>
    <w:rsid w:val="00E61AB1"/>
    <w:rsid w:val="00E6418D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5FC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1098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987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009C4E-713C-416F-A627-717BF5E5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6</cp:revision>
  <cp:lastPrinted>2025-05-12T13:14:00Z</cp:lastPrinted>
  <dcterms:created xsi:type="dcterms:W3CDTF">2026-04-22T13:46:00Z</dcterms:created>
  <dcterms:modified xsi:type="dcterms:W3CDTF">2026-04-22T13:48:00Z</dcterms:modified>
</cp:coreProperties>
</file>