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29ª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22 DE ABRIL DE 2025 </w:t>
      </w:r>
      <w:r>
        <w:rPr>
          <w:spacing w:val="-2"/>
          <w:sz w:val="26"/>
        </w:rPr>
        <w:t>(TERÇA-FEIRA)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763/2023.</w:t>
      </w:r>
      <w:r>
        <w:rPr/>
        <w:t> Autoria da Deputada Cloara Pinheiro.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36"/>
          <w:sz w:val="26"/>
        </w:rPr>
        <w:t> </w:t>
      </w:r>
      <w:r>
        <w:rPr>
          <w:sz w:val="26"/>
        </w:rPr>
        <w:t>sobre</w:t>
      </w:r>
      <w:r>
        <w:rPr>
          <w:spacing w:val="36"/>
          <w:sz w:val="26"/>
        </w:rPr>
        <w:t> </w:t>
      </w:r>
      <w:r>
        <w:rPr>
          <w:sz w:val="26"/>
        </w:rPr>
        <w:t>a</w:t>
      </w:r>
      <w:r>
        <w:rPr>
          <w:spacing w:val="36"/>
          <w:sz w:val="26"/>
        </w:rPr>
        <w:t> </w:t>
      </w:r>
      <w:r>
        <w:rPr>
          <w:sz w:val="26"/>
        </w:rPr>
        <w:t>prioridade</w:t>
      </w:r>
      <w:r>
        <w:rPr>
          <w:spacing w:val="36"/>
          <w:sz w:val="26"/>
        </w:rPr>
        <w:t> </w:t>
      </w:r>
      <w:r>
        <w:rPr>
          <w:sz w:val="26"/>
        </w:rPr>
        <w:t>no</w:t>
      </w:r>
      <w:r>
        <w:rPr>
          <w:spacing w:val="36"/>
          <w:sz w:val="26"/>
        </w:rPr>
        <w:t> </w:t>
      </w:r>
      <w:r>
        <w:rPr>
          <w:sz w:val="26"/>
        </w:rPr>
        <w:t>atendimento</w:t>
      </w:r>
      <w:r>
        <w:rPr>
          <w:spacing w:val="36"/>
          <w:sz w:val="26"/>
        </w:rPr>
        <w:t> </w:t>
      </w:r>
      <w:r>
        <w:rPr>
          <w:sz w:val="26"/>
        </w:rPr>
        <w:t>às</w:t>
      </w:r>
      <w:r>
        <w:rPr>
          <w:spacing w:val="38"/>
          <w:sz w:val="26"/>
        </w:rPr>
        <w:t> </w:t>
      </w:r>
      <w:r>
        <w:rPr>
          <w:sz w:val="26"/>
        </w:rPr>
        <w:t>pessoas</w:t>
      </w:r>
      <w:r>
        <w:rPr>
          <w:spacing w:val="36"/>
          <w:sz w:val="26"/>
        </w:rPr>
        <w:t> </w:t>
      </w:r>
      <w:r>
        <w:rPr>
          <w:sz w:val="26"/>
        </w:rPr>
        <w:t>portadoras</w:t>
      </w:r>
      <w:r>
        <w:rPr>
          <w:spacing w:val="36"/>
          <w:sz w:val="26"/>
        </w:rPr>
        <w:t> </w:t>
      </w:r>
      <w:r>
        <w:rPr>
          <w:sz w:val="26"/>
        </w:rPr>
        <w:t>de</w:t>
      </w:r>
      <w:r>
        <w:rPr>
          <w:spacing w:val="38"/>
          <w:sz w:val="26"/>
        </w:rPr>
        <w:t> </w:t>
      </w:r>
      <w:r>
        <w:rPr>
          <w:sz w:val="26"/>
        </w:rPr>
        <w:t>Diabetes</w:t>
      </w:r>
      <w:r>
        <w:rPr>
          <w:spacing w:val="36"/>
          <w:sz w:val="26"/>
        </w:rPr>
        <w:t> </w:t>
      </w:r>
      <w:r>
        <w:rPr>
          <w:sz w:val="26"/>
        </w:rPr>
        <w:t>Mellitus</w:t>
      </w:r>
      <w:r>
        <w:rPr>
          <w:spacing w:val="36"/>
          <w:sz w:val="26"/>
        </w:rPr>
        <w:t> </w:t>
      </w:r>
      <w:r>
        <w:rPr>
          <w:sz w:val="26"/>
        </w:rPr>
        <w:t>nos Estabelecimentos de Saúde no Estado do Paraná.</w:t>
      </w:r>
    </w:p>
    <w:p>
      <w:pPr>
        <w:spacing w:line="240" w:lineRule="auto" w:before="0"/>
        <w:rPr>
          <w:sz w:val="26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1/2025.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7"/>
        </w:rPr>
        <w:t> </w: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2"/>
        </w:rPr>
        <w:t> 110/2025.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Tribunal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Justiça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Estado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efetuar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doação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imóvel</w:t>
      </w:r>
      <w:r>
        <w:rPr>
          <w:spacing w:val="-14"/>
          <w:sz w:val="26"/>
        </w:rPr>
        <w:t> </w:t>
      </w:r>
      <w:r>
        <w:rPr>
          <w:sz w:val="26"/>
        </w:rPr>
        <w:t>que</w:t>
      </w:r>
      <w:r>
        <w:rPr>
          <w:spacing w:val="-13"/>
          <w:sz w:val="26"/>
        </w:rPr>
        <w:t> </w:t>
      </w:r>
      <w:r>
        <w:rPr>
          <w:sz w:val="26"/>
        </w:rPr>
        <w:t>especifica ao Município de Castro.</w:t>
      </w:r>
    </w:p>
    <w:p>
      <w:pPr>
        <w:spacing w:line="240" w:lineRule="auto" w:before="1"/>
        <w:rPr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90/2025.</w:t>
      </w:r>
      <w:r>
        <w:rPr/>
        <w:t> Autoria do Deputado Thiago Bührer.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31"/>
          <w:sz w:val="26"/>
        </w:rPr>
        <w:t> </w:t>
      </w:r>
      <w:r>
        <w:rPr>
          <w:sz w:val="26"/>
        </w:rPr>
        <w:t>o</w:t>
      </w:r>
      <w:r>
        <w:rPr>
          <w:spacing w:val="31"/>
          <w:sz w:val="26"/>
        </w:rPr>
        <w:t> </w:t>
      </w:r>
      <w:r>
        <w:rPr>
          <w:sz w:val="26"/>
        </w:rPr>
        <w:t>Título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4"/>
          <w:sz w:val="26"/>
        </w:rPr>
        <w:t> </w:t>
      </w:r>
      <w:r>
        <w:rPr>
          <w:sz w:val="26"/>
        </w:rPr>
        <w:t>Utilidade</w:t>
      </w:r>
      <w:r>
        <w:rPr>
          <w:spacing w:val="34"/>
          <w:sz w:val="26"/>
        </w:rPr>
        <w:t> </w:t>
      </w:r>
      <w:r>
        <w:rPr>
          <w:sz w:val="26"/>
        </w:rPr>
        <w:t>Pública</w:t>
      </w:r>
      <w:r>
        <w:rPr>
          <w:spacing w:val="31"/>
          <w:sz w:val="26"/>
        </w:rPr>
        <w:t> </w:t>
      </w:r>
      <w:r>
        <w:rPr>
          <w:sz w:val="26"/>
        </w:rPr>
        <w:t>à</w:t>
      </w:r>
      <w:r>
        <w:rPr>
          <w:spacing w:val="31"/>
          <w:sz w:val="26"/>
        </w:rPr>
        <w:t> </w:t>
      </w:r>
      <w:r>
        <w:rPr>
          <w:sz w:val="26"/>
        </w:rPr>
        <w:t>Associação</w:t>
      </w:r>
      <w:r>
        <w:rPr>
          <w:spacing w:val="31"/>
          <w:sz w:val="26"/>
        </w:rPr>
        <w:t> </w:t>
      </w:r>
      <w:r>
        <w:rPr>
          <w:sz w:val="26"/>
        </w:rPr>
        <w:t>Para</w:t>
      </w:r>
      <w:r>
        <w:rPr>
          <w:spacing w:val="31"/>
          <w:sz w:val="26"/>
        </w:rPr>
        <w:t> </w:t>
      </w:r>
      <w:r>
        <w:rPr>
          <w:sz w:val="26"/>
        </w:rPr>
        <w:t>Vida</w:t>
      </w:r>
      <w:r>
        <w:rPr>
          <w:spacing w:val="31"/>
          <w:sz w:val="26"/>
        </w:rPr>
        <w:t> </w:t>
      </w:r>
      <w:r>
        <w:rPr>
          <w:sz w:val="26"/>
        </w:rPr>
        <w:t>Sem</w:t>
      </w:r>
      <w:r>
        <w:rPr>
          <w:spacing w:val="31"/>
          <w:sz w:val="26"/>
        </w:rPr>
        <w:t> </w:t>
      </w:r>
      <w:r>
        <w:rPr>
          <w:sz w:val="26"/>
        </w:rPr>
        <w:t>Drogas,</w:t>
      </w:r>
      <w:r>
        <w:rPr>
          <w:spacing w:val="31"/>
          <w:sz w:val="26"/>
        </w:rPr>
        <w:t> </w:t>
      </w:r>
      <w:r>
        <w:rPr>
          <w:sz w:val="26"/>
        </w:rPr>
        <w:t>com</w:t>
      </w:r>
      <w:r>
        <w:rPr>
          <w:spacing w:val="31"/>
          <w:sz w:val="26"/>
        </w:rPr>
        <w:t> </w:t>
      </w:r>
      <w:r>
        <w:rPr>
          <w:sz w:val="26"/>
        </w:rPr>
        <w:t>sede</w:t>
      </w:r>
      <w:r>
        <w:rPr>
          <w:spacing w:val="34"/>
          <w:sz w:val="26"/>
        </w:rPr>
        <w:t> </w:t>
      </w:r>
      <w:r>
        <w:rPr>
          <w:sz w:val="26"/>
        </w:rPr>
        <w:t>no Município de São José dos Pinhais.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97/2025.</w:t>
      </w:r>
      <w:r>
        <w:rPr/>
        <w:t> Autoria da Deputada Cloara Pinheiro.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4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Título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Utilidade</w:t>
      </w:r>
      <w:r>
        <w:rPr>
          <w:spacing w:val="-14"/>
          <w:sz w:val="26"/>
        </w:rPr>
        <w:t> </w:t>
      </w:r>
      <w:r>
        <w:rPr>
          <w:sz w:val="26"/>
        </w:rPr>
        <w:t>Pública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4"/>
          <w:sz w:val="26"/>
        </w:rPr>
        <w:t> </w:t>
      </w:r>
      <w:r>
        <w:rPr>
          <w:sz w:val="26"/>
        </w:rPr>
        <w:t>Associação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Voleibol</w:t>
      </w:r>
      <w:r>
        <w:rPr>
          <w:spacing w:val="-11"/>
          <w:sz w:val="26"/>
        </w:rPr>
        <w:t> </w:t>
      </w:r>
      <w:r>
        <w:rPr>
          <w:sz w:val="26"/>
        </w:rPr>
        <w:t>Ibiporã,</w:t>
      </w:r>
      <w:r>
        <w:rPr>
          <w:spacing w:val="-14"/>
          <w:sz w:val="26"/>
        </w:rPr>
        <w:t> </w:t>
      </w:r>
      <w:r>
        <w:rPr>
          <w:sz w:val="26"/>
        </w:rPr>
        <w:t>situada</w:t>
      </w:r>
      <w:r>
        <w:rPr>
          <w:spacing w:val="-14"/>
          <w:sz w:val="26"/>
        </w:rPr>
        <w:t> </w:t>
      </w:r>
      <w:r>
        <w:rPr>
          <w:sz w:val="26"/>
        </w:rPr>
        <w:t>no</w:t>
      </w:r>
      <w:r>
        <w:rPr>
          <w:spacing w:val="-14"/>
          <w:sz w:val="26"/>
        </w:rPr>
        <w:t> </w:t>
      </w:r>
      <w:r>
        <w:rPr>
          <w:sz w:val="26"/>
        </w:rPr>
        <w:t>Município de Ibiporã, Estado do Paraná.</w:t>
      </w:r>
    </w:p>
    <w:p>
      <w:pPr>
        <w:spacing w:line="240" w:lineRule="auto" w:before="298"/>
        <w:rPr>
          <w:sz w:val="26"/>
        </w:rPr>
      </w:pPr>
    </w:p>
    <w:p>
      <w:pPr>
        <w:pStyle w:val="BodyText"/>
        <w:spacing w:before="1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451/2023.</w:t>
      </w:r>
    </w:p>
    <w:p>
      <w:pPr>
        <w:pStyle w:val="BodyText"/>
        <w:spacing w:line="298" w:lineRule="exact" w:before="1"/>
        <w:jc w:val="both"/>
      </w:pPr>
      <w:r>
        <w:rPr/>
        <w:t>Autoria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Mabel</w:t>
      </w:r>
      <w:r>
        <w:rPr>
          <w:spacing w:val="-6"/>
        </w:rPr>
        <w:t> </w:t>
      </w:r>
      <w:r>
        <w:rPr/>
        <w:t>Canto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Ney</w:t>
      </w:r>
      <w:r>
        <w:rPr>
          <w:spacing w:val="-6"/>
        </w:rPr>
        <w:t> </w:t>
      </w:r>
      <w:r>
        <w:rPr>
          <w:spacing w:val="-2"/>
        </w:rPr>
        <w:t>Leprevost.</w:t>
      </w:r>
    </w:p>
    <w:p>
      <w:pPr>
        <w:spacing w:before="0"/>
        <w:ind w:left="196" w:right="103" w:firstLine="0"/>
        <w:jc w:val="both"/>
        <w:rPr>
          <w:b/>
          <w:sz w:val="26"/>
        </w:rPr>
      </w:pPr>
      <w:r>
        <w:rPr>
          <w:sz w:val="26"/>
        </w:rPr>
        <w:t>Institui o “Novembrinho Azul”, a ser realizado, anualmente, em novembro, para promover campanha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conscientização</w:t>
      </w:r>
      <w:r>
        <w:rPr>
          <w:spacing w:val="-14"/>
          <w:sz w:val="26"/>
        </w:rPr>
        <w:t> </w:t>
      </w:r>
      <w:r>
        <w:rPr>
          <w:sz w:val="26"/>
        </w:rPr>
        <w:t>e</w:t>
      </w:r>
      <w:r>
        <w:rPr>
          <w:spacing w:val="-13"/>
          <w:sz w:val="26"/>
        </w:rPr>
        <w:t> </w:t>
      </w:r>
      <w:r>
        <w:rPr>
          <w:sz w:val="26"/>
        </w:rPr>
        <w:t>ações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proteção</w:t>
      </w:r>
      <w:r>
        <w:rPr>
          <w:spacing w:val="-13"/>
          <w:sz w:val="26"/>
        </w:rPr>
        <w:t> </w:t>
      </w:r>
      <w:r>
        <w:rPr>
          <w:sz w:val="26"/>
        </w:rPr>
        <w:t>da</w:t>
      </w:r>
      <w:r>
        <w:rPr>
          <w:spacing w:val="-13"/>
          <w:sz w:val="26"/>
        </w:rPr>
        <w:t> </w:t>
      </w:r>
      <w:r>
        <w:rPr>
          <w:sz w:val="26"/>
        </w:rPr>
        <w:t>saúde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meninos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até</w:t>
      </w:r>
      <w:r>
        <w:rPr>
          <w:spacing w:val="-13"/>
          <w:sz w:val="26"/>
        </w:rPr>
        <w:t> </w:t>
      </w:r>
      <w:r>
        <w:rPr>
          <w:sz w:val="26"/>
        </w:rPr>
        <w:t>15</w:t>
      </w:r>
      <w:r>
        <w:rPr>
          <w:spacing w:val="-13"/>
          <w:sz w:val="26"/>
        </w:rPr>
        <w:t> </w:t>
      </w:r>
      <w:r>
        <w:rPr>
          <w:sz w:val="26"/>
        </w:rPr>
        <w:t>anos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idade. </w:t>
      </w:r>
      <w:r>
        <w:rPr>
          <w:b/>
          <w:sz w:val="26"/>
        </w:rPr>
        <w:t>Parecer favorável: C.C.J., com emenda; Comissão de Saúde Pública.</w:t>
      </w:r>
    </w:p>
    <w:p>
      <w:pPr>
        <w:spacing w:after="0"/>
        <w:jc w:val="both"/>
        <w:rPr>
          <w:b/>
          <w:sz w:val="26"/>
        </w:rPr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right="4531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307/2024.</w:t>
      </w:r>
      <w:r>
        <w:rPr/>
        <w:t> Autoria do Deputado Cobra Repórter.</w:t>
      </w:r>
    </w:p>
    <w:p>
      <w:pPr>
        <w:spacing w:before="0"/>
        <w:ind w:left="196" w:right="96" w:firstLine="0"/>
        <w:jc w:val="both"/>
        <w:rPr>
          <w:sz w:val="26"/>
        </w:rPr>
      </w:pPr>
      <w:r>
        <w:rPr>
          <w:sz w:val="26"/>
        </w:rPr>
        <w:t>Institui o “Dia dos Heróis Paranaenses” e cria o “Livro Memorial Oficial dos Heróis do Paraná”, para preservação histórico-cultural de atos e ações de paranaenses dignos de homenagem, na forma que específica.</w:t>
      </w:r>
    </w:p>
    <w:p>
      <w:pPr>
        <w:pStyle w:val="BodyText"/>
        <w:jc w:val="both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C.C.J.,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emenda;</w:t>
      </w:r>
      <w:r>
        <w:rPr>
          <w:spacing w:val="-7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Cultura.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105/2025.</w:t>
      </w:r>
      <w:r>
        <w:rPr/>
        <w:t> Autoria do Deputado Alexandre Curi.</w:t>
      </w:r>
    </w:p>
    <w:p>
      <w:pPr>
        <w:spacing w:before="0"/>
        <w:ind w:left="196" w:right="99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Lei</w:t>
      </w:r>
      <w:r>
        <w:rPr>
          <w:spacing w:val="40"/>
          <w:sz w:val="26"/>
        </w:rPr>
        <w:t> </w:t>
      </w:r>
      <w:r>
        <w:rPr>
          <w:sz w:val="26"/>
        </w:rPr>
        <w:t>nº</w:t>
      </w:r>
      <w:r>
        <w:rPr>
          <w:spacing w:val="40"/>
          <w:sz w:val="26"/>
        </w:rPr>
        <w:t> </w:t>
      </w:r>
      <w:r>
        <w:rPr>
          <w:sz w:val="26"/>
        </w:rPr>
        <w:t>17.826,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13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dezembro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2013,</w:t>
      </w:r>
      <w:r>
        <w:rPr>
          <w:spacing w:val="40"/>
          <w:sz w:val="26"/>
        </w:rPr>
        <w:t> </w:t>
      </w:r>
      <w:r>
        <w:rPr>
          <w:sz w:val="26"/>
        </w:rPr>
        <w:t>que</w:t>
      </w:r>
      <w:r>
        <w:rPr>
          <w:spacing w:val="40"/>
          <w:sz w:val="26"/>
        </w:rPr>
        <w:t> </w:t>
      </w:r>
      <w:r>
        <w:rPr>
          <w:sz w:val="26"/>
        </w:rPr>
        <w:t>dispõe</w:t>
      </w:r>
      <w:r>
        <w:rPr>
          <w:spacing w:val="62"/>
          <w:sz w:val="26"/>
        </w:rPr>
        <w:t> </w:t>
      </w:r>
      <w:r>
        <w:rPr>
          <w:sz w:val="26"/>
        </w:rPr>
        <w:t>sobre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concessão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manutenção do Título de Utilidade Pública a entidades no Estado do Paraná.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8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112/2025.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3"/>
        </w:rPr>
        <w:t> </w:t>
      </w:r>
      <w:r>
        <w:rPr/>
        <w:t>Ofício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326/2025.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Tribunal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Justiça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Estado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efetuar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doação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imóvel</w:t>
      </w:r>
      <w:r>
        <w:rPr>
          <w:spacing w:val="-14"/>
          <w:sz w:val="26"/>
        </w:rPr>
        <w:t> </w:t>
      </w:r>
      <w:r>
        <w:rPr>
          <w:sz w:val="26"/>
        </w:rPr>
        <w:t>que</w:t>
      </w:r>
      <w:r>
        <w:rPr>
          <w:spacing w:val="-13"/>
          <w:sz w:val="26"/>
        </w:rPr>
        <w:t> </w:t>
      </w:r>
      <w:r>
        <w:rPr>
          <w:sz w:val="26"/>
        </w:rPr>
        <w:t>especifica ao Município de Cerro Azul.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C.C.J.,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Obras</w:t>
      </w:r>
      <w:r>
        <w:rPr>
          <w:spacing w:val="-7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Transportes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Comunicação.</w:t>
      </w:r>
    </w:p>
    <w:p>
      <w:pPr>
        <w:spacing w:line="240" w:lineRule="auto" w:before="2"/>
        <w:rPr>
          <w:b/>
          <w:sz w:val="26"/>
        </w:rPr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225/2025.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/>
        <w:t>25/2025.</w:t>
      </w:r>
      <w:r>
        <w:rPr>
          <w:spacing w:val="-3"/>
        </w:rPr>
        <w:t> </w:t>
      </w:r>
      <w:r>
        <w:rPr/>
        <w:t>Regime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Urgência.</w:t>
      </w:r>
    </w:p>
    <w:p>
      <w:pPr>
        <w:spacing w:line="298" w:lineRule="exact" w:before="1"/>
        <w:ind w:left="196" w:right="0" w:firstLine="0"/>
        <w:jc w:val="left"/>
        <w:rPr>
          <w:sz w:val="26"/>
        </w:rPr>
      </w:pPr>
      <w:r>
        <w:rPr>
          <w:sz w:val="26"/>
        </w:rPr>
        <w:t>Aprova</w:t>
      </w:r>
      <w:r>
        <w:rPr>
          <w:spacing w:val="-7"/>
          <w:sz w:val="26"/>
        </w:rPr>
        <w:t> </w:t>
      </w:r>
      <w:r>
        <w:rPr>
          <w:sz w:val="26"/>
        </w:rPr>
        <w:t>crédito</w:t>
      </w:r>
      <w:r>
        <w:rPr>
          <w:spacing w:val="-7"/>
          <w:sz w:val="26"/>
        </w:rPr>
        <w:t> </w:t>
      </w:r>
      <w:r>
        <w:rPr>
          <w:sz w:val="26"/>
        </w:rPr>
        <w:t>adicional</w:t>
      </w:r>
      <w:r>
        <w:rPr>
          <w:spacing w:val="-5"/>
          <w:sz w:val="26"/>
        </w:rPr>
        <w:t> </w:t>
      </w:r>
      <w:r>
        <w:rPr>
          <w:sz w:val="26"/>
        </w:rPr>
        <w:t>especial,</w:t>
      </w:r>
      <w:r>
        <w:rPr>
          <w:spacing w:val="-7"/>
          <w:sz w:val="26"/>
        </w:rPr>
        <w:t> </w:t>
      </w:r>
      <w:r>
        <w:rPr>
          <w:sz w:val="26"/>
        </w:rPr>
        <w:t>alterando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vigente</w:t>
      </w:r>
      <w:r>
        <w:rPr>
          <w:spacing w:val="-8"/>
          <w:sz w:val="26"/>
        </w:rPr>
        <w:t> </w:t>
      </w:r>
      <w:r>
        <w:rPr>
          <w:sz w:val="26"/>
        </w:rPr>
        <w:t>Orçamento</w:t>
      </w:r>
      <w:r>
        <w:rPr>
          <w:spacing w:val="-5"/>
          <w:sz w:val="26"/>
        </w:rPr>
        <w:t> </w:t>
      </w:r>
      <w:r>
        <w:rPr>
          <w:sz w:val="26"/>
        </w:rPr>
        <w:t>Fiscal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Estado.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14"/>
        </w:rPr>
        <w:t> </w:t>
      </w:r>
      <w:r>
        <w:rPr/>
        <w:t>favorável:</w:t>
      </w:r>
      <w:r>
        <w:rPr>
          <w:spacing w:val="-12"/>
        </w:rPr>
        <w:t> </w:t>
      </w:r>
      <w:r>
        <w:rPr/>
        <w:t>C.C.J.;</w:t>
      </w:r>
      <w:r>
        <w:rPr>
          <w:spacing w:val="-14"/>
        </w:rPr>
        <w:t> </w:t>
      </w:r>
      <w:r>
        <w:rPr/>
        <w:t>Comissão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Finanças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Tributação;</w:t>
      </w:r>
      <w:r>
        <w:rPr>
          <w:spacing w:val="-11"/>
        </w:rPr>
        <w:t> </w:t>
      </w:r>
      <w:r>
        <w:rPr/>
        <w:t>Comissão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Orçamento.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4098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1"/>
          <w:u w:val="single"/>
        </w:rPr>
        <w:t> </w:t>
      </w:r>
      <w:r>
        <w:rPr>
          <w:u w:val="single"/>
        </w:rPr>
        <w:t>80/2025.</w:t>
      </w:r>
      <w:r>
        <w:rPr/>
        <w:t> Autoria do Deputado Matheus Vermelho.</w:t>
      </w:r>
    </w:p>
    <w:p>
      <w:pPr>
        <w:spacing w:before="0"/>
        <w:ind w:left="196" w:right="105" w:firstLine="0"/>
        <w:jc w:val="both"/>
        <w:rPr>
          <w:sz w:val="26"/>
        </w:rPr>
      </w:pPr>
      <w:r>
        <w:rPr>
          <w:sz w:val="26"/>
        </w:rPr>
        <w:t>Concede o Título de Utilidade Pública à Associação dos Moradores, Amigos dos </w:t>
      </w:r>
      <w:r>
        <w:rPr>
          <w:sz w:val="26"/>
        </w:rPr>
        <w:t>Idosos, Esportivos,</w:t>
      </w:r>
      <w:r>
        <w:rPr>
          <w:spacing w:val="-3"/>
          <w:sz w:val="26"/>
        </w:rPr>
        <w:t> </w:t>
      </w:r>
      <w:r>
        <w:rPr>
          <w:sz w:val="26"/>
        </w:rPr>
        <w:t>Cultural dos</w:t>
      </w:r>
      <w:r>
        <w:rPr>
          <w:spacing w:val="-3"/>
          <w:sz w:val="26"/>
        </w:rPr>
        <w:t> </w:t>
      </w:r>
      <w:r>
        <w:rPr>
          <w:sz w:val="26"/>
        </w:rPr>
        <w:t>Bairros,</w:t>
      </w:r>
      <w:r>
        <w:rPr>
          <w:spacing w:val="-3"/>
          <w:sz w:val="26"/>
        </w:rPr>
        <w:t> </w:t>
      </w:r>
      <w:r>
        <w:rPr>
          <w:sz w:val="26"/>
        </w:rPr>
        <w:t>Laranjeiras, Karla,</w:t>
      </w:r>
      <w:r>
        <w:rPr>
          <w:spacing w:val="-2"/>
          <w:sz w:val="26"/>
        </w:rPr>
        <w:t> </w:t>
      </w:r>
      <w:r>
        <w:rPr>
          <w:sz w:val="26"/>
        </w:rPr>
        <w:t>Petrópolis,</w:t>
      </w:r>
      <w:r>
        <w:rPr>
          <w:spacing w:val="-3"/>
          <w:sz w:val="26"/>
        </w:rPr>
        <w:t> </w:t>
      </w:r>
      <w:r>
        <w:rPr>
          <w:sz w:val="26"/>
        </w:rPr>
        <w:t>Estrela,</w:t>
      </w:r>
      <w:r>
        <w:rPr>
          <w:spacing w:val="-3"/>
          <w:sz w:val="26"/>
        </w:rPr>
        <w:t> </w:t>
      </w:r>
      <w:r>
        <w:rPr>
          <w:sz w:val="26"/>
        </w:rPr>
        <w:t>Paraná, Belvedere</w:t>
      </w:r>
      <w:r>
        <w:rPr>
          <w:spacing w:val="-2"/>
          <w:sz w:val="26"/>
        </w:rPr>
        <w:t> </w:t>
      </w:r>
      <w:r>
        <w:rPr>
          <w:sz w:val="26"/>
        </w:rPr>
        <w:t>I e II e Porto Seguro, com sede no Município de Foz do Iguaçu.</w:t>
      </w:r>
    </w:p>
    <w:p>
      <w:pPr>
        <w:pStyle w:val="BodyText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2025-05-26T13:20:36Z</dcterms:created>
  <dcterms:modified xsi:type="dcterms:W3CDTF">2025-05-26T13:20:36Z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