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ind w:left="0"/>
        <w:rPr>
          <w:rFonts w:ascii="Times New Roman"/>
          <w:b w:val="0"/>
          <w:sz w:val="7"/>
        </w:rPr>
      </w:pPr>
    </w:p>
    <w:p>
      <w:pPr>
        <w:pStyle w:val="BodyText"/>
        <w:ind w:left="68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81680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68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line="331" w:lineRule="auto" w:before="150"/>
        <w:ind w:left="1053" w:right="1294" w:firstLine="3"/>
        <w:jc w:val="center"/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3644720</wp:posOffset>
            </wp:positionH>
            <wp:positionV relativeFrom="paragraph">
              <wp:posOffset>1075959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1ª SESSÃO LEGISLATIVA DA 20ª LEGISLATURA 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10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2023 102ª SESSÃO ORDINÁRIA</w:t>
      </w:r>
    </w:p>
    <w:p>
      <w:pPr>
        <w:pStyle w:val="BodyText"/>
        <w:spacing w:before="156"/>
        <w:ind w:left="0" w:right="234"/>
        <w:jc w:val="center"/>
      </w:pPr>
      <w:r>
        <w:rPr/>
        <w:t>ORDEM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5"/>
        </w:rPr>
        <w:t>DIA</w:t>
      </w:r>
    </w:p>
    <w:p>
      <w:pPr>
        <w:pStyle w:val="BodyText"/>
        <w:spacing w:before="10"/>
        <w:ind w:left="0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116844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9.20036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79"/>
        <w:ind w:left="0"/>
      </w:pPr>
    </w:p>
    <w:p>
      <w:pPr>
        <w:pStyle w:val="BodyText"/>
        <w:spacing w:line="523" w:lineRule="auto"/>
        <w:ind w:left="3740" w:right="964" w:hanging="1566"/>
      </w:pPr>
      <w:r>
        <w:rPr/>
        <w:t>PARA</w:t>
      </w:r>
      <w:r>
        <w:rPr>
          <w:spacing w:val="-11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11"/>
        </w:rPr>
        <w:t> </w:t>
      </w:r>
      <w:r>
        <w:rPr/>
        <w:t>24 DE</w:t>
      </w:r>
      <w:r>
        <w:rPr>
          <w:spacing w:val="-6"/>
        </w:rPr>
        <w:t> </w:t>
      </w:r>
      <w:r>
        <w:rPr/>
        <w:t>OUTUBRO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2023 TERÇA – FEIRA</w:t>
      </w:r>
    </w:p>
    <w:p>
      <w:pPr>
        <w:pStyle w:val="BodyText"/>
        <w:ind w:left="0"/>
      </w:pPr>
    </w:p>
    <w:p>
      <w:pPr>
        <w:pStyle w:val="BodyText"/>
        <w:spacing w:before="305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ind w:right="1319"/>
      </w:pPr>
      <w:r>
        <w:rPr/>
        <w:t>3ª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208/23. AUTORIA DO DEPUTADO BATATINHA.</w:t>
      </w:r>
    </w:p>
    <w:p>
      <w:pPr>
        <w:spacing w:before="1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DISPÕE SOBRE A INSTITUIÇÃO DA POLÍTICA CONTRA O ETARISMO, COM O OBJETIVO DE COMBATER A DISCRIMINAÇÃO E PROMOVER A IGUALDADE DE OPORTUNIDADES ENTRE AS DIFERENTES FAIXAS ETÁRIAS, E DÁ OUTRAS PROVIDÊNCIAS.</w:t>
      </w:r>
    </w:p>
    <w:p>
      <w:pPr>
        <w:pStyle w:val="BodyText"/>
        <w:tabs>
          <w:tab w:pos="2454" w:val="left" w:leader="none"/>
          <w:tab w:pos="4816" w:val="left" w:leader="none"/>
          <w:tab w:pos="5559" w:val="left" w:leader="none"/>
          <w:tab w:pos="6747" w:val="left" w:leader="none"/>
          <w:tab w:pos="7246" w:val="left" w:leader="none"/>
          <w:tab w:pos="9273" w:val="left" w:leader="none"/>
        </w:tabs>
        <w:ind w:right="35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DIREITOS HUMANOS E DA CIDADANIA.</w:t>
      </w:r>
    </w:p>
    <w:p>
      <w:pPr>
        <w:pStyle w:val="BodyText"/>
        <w:spacing w:line="368" w:lineRule="exact"/>
      </w:pPr>
      <w:r>
        <w:rPr/>
        <w:t>SUBSTITUTIVO</w:t>
      </w:r>
      <w:r>
        <w:rPr>
          <w:spacing w:val="-12"/>
        </w:rPr>
        <w:t> </w:t>
      </w:r>
      <w:r>
        <w:rPr/>
        <w:t>GERAL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tabs>
          <w:tab w:pos="2398" w:val="left" w:leader="none"/>
          <w:tab w:pos="4014" w:val="left" w:leader="none"/>
          <w:tab w:pos="5700" w:val="left" w:leader="none"/>
          <w:tab w:pos="8596" w:val="left" w:leader="none"/>
        </w:tabs>
        <w:ind w:right="365"/>
      </w:pPr>
      <w:r>
        <w:rPr>
          <w:spacing w:val="-2"/>
        </w:rPr>
        <w:t>APRECIAR</w:t>
      </w:r>
      <w:r>
        <w:rPr/>
        <w:tab/>
      </w:r>
      <w:r>
        <w:rPr>
          <w:spacing w:val="-4"/>
        </w:rPr>
        <w:t>NESTE</w:t>
      </w:r>
      <w:r>
        <w:rPr/>
        <w:tab/>
      </w:r>
      <w:r>
        <w:rPr>
          <w:spacing w:val="-4"/>
        </w:rPr>
        <w:t>TURNO</w:t>
      </w:r>
      <w:r>
        <w:rPr/>
        <w:tab/>
      </w:r>
      <w:r>
        <w:rPr>
          <w:spacing w:val="-2"/>
        </w:rPr>
        <w:t>SUBSTITUTIVO</w:t>
      </w:r>
      <w:r>
        <w:rPr/>
        <w:tab/>
      </w:r>
      <w:r>
        <w:rPr>
          <w:spacing w:val="-4"/>
        </w:rPr>
        <w:t>GERAL </w:t>
      </w:r>
      <w:r>
        <w:rPr/>
        <w:t>APROVADO EM SEGUNDA DISCUSSÃO.</w:t>
      </w:r>
    </w:p>
    <w:p>
      <w:pPr>
        <w:pStyle w:val="BodyText"/>
        <w:spacing w:after="0"/>
        <w:sectPr>
          <w:type w:val="continuous"/>
          <w:pgSz w:w="12240" w:h="15840"/>
          <w:pgMar w:top="1820" w:bottom="280" w:left="1440" w:right="720"/>
        </w:sectPr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spacing w:line="368" w:lineRule="exact" w:before="2"/>
      </w:pPr>
      <w:r>
        <w:rPr/>
        <w:t>2ª</w:t>
      </w:r>
      <w:r>
        <w:rPr>
          <w:spacing w:val="59"/>
        </w:rPr>
        <w:t> </w:t>
      </w:r>
      <w:r>
        <w:rPr/>
        <w:t>DISCUSSÃO</w:t>
      </w:r>
      <w:r>
        <w:rPr>
          <w:spacing w:val="60"/>
        </w:rPr>
        <w:t> </w:t>
      </w:r>
      <w:r>
        <w:rPr/>
        <w:t>DO</w:t>
      </w:r>
      <w:r>
        <w:rPr>
          <w:spacing w:val="58"/>
        </w:rPr>
        <w:t> </w:t>
      </w:r>
      <w:r>
        <w:rPr/>
        <w:t>PROJETO</w:t>
      </w:r>
      <w:r>
        <w:rPr>
          <w:spacing w:val="61"/>
        </w:rPr>
        <w:t> </w:t>
      </w:r>
      <w:r>
        <w:rPr/>
        <w:t>DE</w:t>
      </w:r>
      <w:r>
        <w:rPr>
          <w:spacing w:val="60"/>
        </w:rPr>
        <w:t> </w:t>
      </w:r>
      <w:r>
        <w:rPr/>
        <w:t>LEI</w:t>
      </w:r>
      <w:r>
        <w:rPr>
          <w:spacing w:val="64"/>
        </w:rPr>
        <w:t> </w:t>
      </w:r>
      <w:r>
        <w:rPr/>
        <w:t>COMPLEMENTAR</w:t>
      </w:r>
      <w:r>
        <w:rPr>
          <w:spacing w:val="63"/>
        </w:rPr>
        <w:t> </w:t>
      </w:r>
      <w:r>
        <w:rPr>
          <w:spacing w:val="-5"/>
        </w:rPr>
        <w:t>Nº</w:t>
      </w:r>
    </w:p>
    <w:p>
      <w:pPr>
        <w:pStyle w:val="BodyText"/>
        <w:spacing w:line="367" w:lineRule="exact"/>
      </w:pPr>
      <w:r>
        <w:rPr>
          <w:spacing w:val="-2"/>
        </w:rPr>
        <w:t>8/23.</w:t>
      </w:r>
    </w:p>
    <w:p>
      <w:pPr>
        <w:pStyle w:val="BodyText"/>
        <w:tabs>
          <w:tab w:pos="2002" w:val="left" w:leader="none"/>
          <w:tab w:pos="2840" w:val="left" w:leader="none"/>
          <w:tab w:pos="7082" w:val="left" w:leader="none"/>
          <w:tab w:pos="7895" w:val="left" w:leader="none"/>
          <w:tab w:pos="9632" w:val="left" w:leader="none"/>
        </w:tabs>
        <w:spacing w:line="242" w:lineRule="auto"/>
        <w:ind w:right="356"/>
      </w:pPr>
      <w:r>
        <w:rPr>
          <w:spacing w:val="-2"/>
        </w:rPr>
        <w:t>AUTORIA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PROCURADORIA-GERAL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JUSTIÇA</w:t>
      </w:r>
      <w:r>
        <w:rPr/>
        <w:tab/>
      </w:r>
      <w:r>
        <w:rPr>
          <w:spacing w:val="-10"/>
        </w:rPr>
        <w:t>/ </w:t>
      </w:r>
      <w:r>
        <w:rPr/>
        <w:t>MINISTÉRIO PÚBLICO - OFÍCIO Nº 931/23.</w:t>
      </w:r>
    </w:p>
    <w:p>
      <w:pPr>
        <w:spacing w:before="0"/>
        <w:ind w:left="180" w:right="358" w:firstLine="0"/>
        <w:jc w:val="both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ALTERA, NA FORMA QUE ESPECIFICA, DISPOSITIVO DA LEI COMPLEMENTAR Nº 85/1999, QUE DISPÕE SOBRE A LEI ORGÂNICA E ESTATUTO DOS MEMBROS DO MINISTÉRIO PÚBLICO DO ESTADO DO PARANÁ E DÁ OUTRAS PROVIDÊNCIAS.</w:t>
      </w:r>
    </w:p>
    <w:p>
      <w:pPr>
        <w:pStyle w:val="BodyText"/>
        <w:tabs>
          <w:tab w:pos="2454" w:val="left" w:leader="none"/>
          <w:tab w:pos="4820" w:val="left" w:leader="none"/>
          <w:tab w:pos="5563" w:val="left" w:leader="none"/>
          <w:tab w:pos="6751" w:val="left" w:leader="none"/>
          <w:tab w:pos="7250" w:val="left" w:leader="none"/>
          <w:tab w:pos="9271" w:val="left" w:leader="none"/>
        </w:tabs>
        <w:ind w:right="360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ind w:left="0"/>
      </w:pPr>
    </w:p>
    <w:p>
      <w:pPr>
        <w:pStyle w:val="BodyText"/>
        <w:spacing w:before="362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BodyText"/>
        <w:ind w:right="1319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800/23. AUTORIA DO DEPUTADO THIAGO BUHRER.</w:t>
      </w:r>
    </w:p>
    <w:p>
      <w:pPr>
        <w:spacing w:before="1"/>
        <w:ind w:left="180" w:right="364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DISPÕE SOBRE A INSERÇÃO NO CALENDÁRIO OFICIAL DE EVENTOS DO ESTADO DO PARANÁ A TAÇA PARANÁ DE </w:t>
      </w:r>
      <w:r>
        <w:rPr>
          <w:rFonts w:ascii="Arial MT" w:hAnsi="Arial MT"/>
          <w:spacing w:val="-2"/>
          <w:sz w:val="32"/>
        </w:rPr>
        <w:t>VOLEIBOL.</w:t>
      </w:r>
    </w:p>
    <w:p>
      <w:pPr>
        <w:pStyle w:val="BodyText"/>
        <w:tabs>
          <w:tab w:pos="2454" w:val="left" w:leader="none"/>
          <w:tab w:pos="4819" w:val="left" w:leader="none"/>
          <w:tab w:pos="5562" w:val="left" w:leader="none"/>
          <w:tab w:pos="6750" w:val="left" w:leader="none"/>
          <w:tab w:pos="7249" w:val="left" w:leader="none"/>
          <w:tab w:pos="9271" w:val="left" w:leader="none"/>
        </w:tabs>
        <w:spacing w:before="1"/>
        <w:ind w:right="361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ESPORTES.</w:t>
      </w:r>
    </w:p>
    <w:p>
      <w:pPr>
        <w:pStyle w:val="BodyText"/>
        <w:ind w:left="0"/>
      </w:pPr>
    </w:p>
    <w:p>
      <w:pPr>
        <w:pStyle w:val="BodyText"/>
        <w:spacing w:before="366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  <w:spacing w:line="368" w:lineRule="exact" w:before="2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2"/>
        </w:rPr>
        <w:t> 837/23.</w:t>
      </w:r>
    </w:p>
    <w:p>
      <w:pPr>
        <w:spacing w:before="0"/>
        <w:ind w:left="180" w:right="519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168/2023. </w:t>
      </w:r>
      <w:r>
        <w:rPr>
          <w:rFonts w:ascii="Arial MT" w:hAnsi="Arial MT"/>
          <w:sz w:val="32"/>
        </w:rPr>
        <w:t>ALTERA A LEI N° 17.992, DE 21 DE MARÇO DE 2014, QUE DISPÕE SOBRE O CAPITAL SOCIAL AUTORIZADO DA COMPANHIA DE SANEAMENTO DO PARANÁ.</w:t>
      </w:r>
    </w:p>
    <w:p>
      <w:pPr>
        <w:pStyle w:val="BodyText"/>
        <w:tabs>
          <w:tab w:pos="2454" w:val="left" w:leader="none"/>
          <w:tab w:pos="4816" w:val="left" w:leader="none"/>
          <w:tab w:pos="5559" w:val="left" w:leader="none"/>
          <w:tab w:pos="6752" w:val="left" w:leader="none"/>
          <w:tab w:pos="7251" w:val="left" w:leader="none"/>
          <w:tab w:pos="9273" w:val="left" w:leader="none"/>
        </w:tabs>
        <w:ind w:right="35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spacing w:after="0"/>
        <w:sectPr>
          <w:pgSz w:w="12240" w:h="15840"/>
          <w:pgMar w:top="1820" w:bottom="280" w:left="1440" w:right="720"/>
        </w:sectPr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pStyle w:val="BodyText"/>
        <w:jc w:val="both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BodyText"/>
        <w:spacing w:line="368" w:lineRule="exact" w:before="2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5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DECRETO</w:t>
      </w:r>
      <w:r>
        <w:rPr>
          <w:spacing w:val="-6"/>
        </w:rPr>
        <w:t> </w:t>
      </w:r>
      <w:r>
        <w:rPr/>
        <w:t>LEGISLATIVO </w:t>
      </w:r>
      <w:r>
        <w:rPr>
          <w:spacing w:val="-5"/>
        </w:rPr>
        <w:t>Nº</w:t>
      </w:r>
    </w:p>
    <w:p>
      <w:pPr>
        <w:pStyle w:val="BodyText"/>
        <w:spacing w:line="367" w:lineRule="exact"/>
      </w:pPr>
      <w:r>
        <w:rPr>
          <w:spacing w:val="-2"/>
        </w:rPr>
        <w:t>4/23.</w:t>
      </w:r>
    </w:p>
    <w:p>
      <w:pPr>
        <w:pStyle w:val="BodyText"/>
        <w:spacing w:line="368" w:lineRule="exact"/>
      </w:pPr>
      <w:r>
        <w:rPr/>
        <w:t>AUTORIA</w:t>
      </w:r>
      <w:r>
        <w:rPr>
          <w:spacing w:val="-16"/>
        </w:rPr>
        <w:t> </w:t>
      </w:r>
      <w:r>
        <w:rPr/>
        <w:t>DA</w:t>
      </w:r>
      <w:r>
        <w:rPr>
          <w:spacing w:val="-13"/>
        </w:rPr>
        <w:t> </w:t>
      </w:r>
      <w:r>
        <w:rPr/>
        <w:t>COMISSÃO</w:t>
      </w:r>
      <w:r>
        <w:rPr>
          <w:spacing w:val="-12"/>
        </w:rPr>
        <w:t> </w:t>
      </w:r>
      <w:r>
        <w:rPr>
          <w:spacing w:val="-2"/>
        </w:rPr>
        <w:t>EXECUTIVA.</w:t>
      </w:r>
    </w:p>
    <w:p>
      <w:pPr>
        <w:tabs>
          <w:tab w:pos="1127" w:val="left" w:leader="none"/>
          <w:tab w:pos="2454" w:val="left" w:leader="none"/>
          <w:tab w:pos="2897" w:val="left" w:leader="none"/>
          <w:tab w:pos="3401" w:val="left" w:leader="none"/>
          <w:tab w:pos="4816" w:val="left" w:leader="none"/>
          <w:tab w:pos="5559" w:val="left" w:leader="none"/>
          <w:tab w:pos="6133" w:val="left" w:leader="none"/>
          <w:tab w:pos="6752" w:val="left" w:leader="none"/>
          <w:tab w:pos="6867" w:val="left" w:leader="none"/>
          <w:tab w:pos="7251" w:val="left" w:leader="none"/>
          <w:tab w:pos="8599" w:val="left" w:leader="none"/>
          <w:tab w:pos="9273" w:val="left" w:leader="none"/>
        </w:tabs>
        <w:spacing w:before="2"/>
        <w:ind w:left="180" w:right="359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HOMOLOGA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DECRETO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PODER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EXECUTIVO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Nº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3435,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pacing w:val="-4"/>
          <w:sz w:val="32"/>
        </w:rPr>
        <w:t>QUE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ALTERAM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REGULAMENTO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IMPOSTO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SOBRE </w:t>
      </w:r>
      <w:r>
        <w:rPr>
          <w:rFonts w:ascii="Arial MT" w:hAnsi="Arial MT"/>
          <w:sz w:val="32"/>
        </w:rPr>
        <w:t>OPERAÇÕES RELATIVAS À CIRCULAÇÃO DE MERCADORIAS 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SOBRE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PRESTAÇÕES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SERVIÇOS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TRANSPORTE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INTERESTADUAL E INTERMUNICIPAL E DE COMUNICAÇÃO.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E TRIBUTAÇÃO.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06</w:t>
      </w:r>
    </w:p>
    <w:p>
      <w:pPr>
        <w:pStyle w:val="BodyText"/>
        <w:ind w:right="2329"/>
        <w:jc w:val="both"/>
      </w:pPr>
      <w:r>
        <w:rPr/>
        <w:t>1ª DISCUSSÃO DO PROJETO DE LEI Nº 664/21. AUTORIA</w:t>
      </w:r>
      <w:r>
        <w:rPr>
          <w:spacing w:val="-16"/>
        </w:rPr>
        <w:t> </w:t>
      </w:r>
      <w:r>
        <w:rPr/>
        <w:t>DA</w:t>
      </w:r>
      <w:r>
        <w:rPr>
          <w:spacing w:val="-13"/>
        </w:rPr>
        <w:t> </w:t>
      </w:r>
      <w:r>
        <w:rPr/>
        <w:t>DEPUTADA</w:t>
      </w:r>
      <w:r>
        <w:rPr>
          <w:spacing w:val="-12"/>
        </w:rPr>
        <w:t> </w:t>
      </w:r>
      <w:r>
        <w:rPr/>
        <w:t>CANTORA</w:t>
      </w:r>
      <w:r>
        <w:rPr>
          <w:spacing w:val="-16"/>
        </w:rPr>
        <w:t> </w:t>
      </w:r>
      <w:r>
        <w:rPr/>
        <w:t>MARA</w:t>
      </w:r>
      <w:r>
        <w:rPr>
          <w:spacing w:val="-12"/>
        </w:rPr>
        <w:t> </w:t>
      </w:r>
      <w:r>
        <w:rPr>
          <w:spacing w:val="-2"/>
        </w:rPr>
        <w:t>LIMA.</w:t>
      </w:r>
    </w:p>
    <w:p>
      <w:pPr>
        <w:spacing w:before="0"/>
        <w:ind w:left="180" w:right="36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DISPÕE SOBRE A DIVULGAÇÃO DOS SERVIÇOS DE DENÚNCIA CONTRA O ABUSO E A EXPLORAÇÃO SEXUAL DE CRIANÇAS E ADOLESCENTES.</w:t>
      </w:r>
    </w:p>
    <w:p>
      <w:pPr>
        <w:pStyle w:val="BodyText"/>
        <w:ind w:right="356"/>
        <w:jc w:val="both"/>
      </w:pPr>
      <w:r>
        <w:rPr/>
        <w:t>PARECERES FAVORÁVEIS DA C.C.J., COMISSÃO DE SEGURANÇA PÚBLICA E COMISSÃO DE DEFESA DOS DIREITOS DA CRIANÇA, DO ADOLESCENTE E DA PESSOA COM DEFICIÊNCIA.</w:t>
      </w:r>
    </w:p>
    <w:p>
      <w:pPr>
        <w:pStyle w:val="BodyText"/>
        <w:jc w:val="both"/>
      </w:pPr>
      <w:r>
        <w:rPr/>
        <w:t>SUBSTITUTIVO</w:t>
      </w:r>
      <w:r>
        <w:rPr>
          <w:spacing w:val="-12"/>
        </w:rPr>
        <w:t> </w:t>
      </w:r>
      <w:r>
        <w:rPr/>
        <w:t>GERAL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07</w:t>
      </w:r>
    </w:p>
    <w:p>
      <w:pPr>
        <w:pStyle w:val="BodyText"/>
        <w:spacing w:line="367" w:lineRule="exact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6"/>
        </w:rPr>
        <w:t> </w:t>
      </w:r>
      <w:r>
        <w:rPr>
          <w:spacing w:val="-2"/>
        </w:rPr>
        <w:t>702/23.</w:t>
      </w:r>
    </w:p>
    <w:p>
      <w:pPr>
        <w:tabs>
          <w:tab w:pos="2501" w:val="left" w:leader="none"/>
          <w:tab w:pos="4909" w:val="left" w:leader="none"/>
          <w:tab w:pos="5698" w:val="left" w:leader="none"/>
          <w:tab w:pos="7022" w:val="left" w:leader="none"/>
          <w:tab w:pos="9091" w:val="left" w:leader="none"/>
        </w:tabs>
        <w:spacing w:before="0"/>
        <w:ind w:left="180" w:right="521" w:firstLine="0"/>
        <w:jc w:val="left"/>
        <w:rPr>
          <w:b/>
          <w:sz w:val="32"/>
        </w:rPr>
      </w:pPr>
      <w:r>
        <w:rPr>
          <w:b/>
          <w:sz w:val="32"/>
        </w:rPr>
        <w:t>AUTORIA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129/2023. </w:t>
      </w:r>
      <w:r>
        <w:rPr>
          <w:rFonts w:ascii="Arial MT" w:hAnsi="Arial MT"/>
          <w:sz w:val="32"/>
        </w:rPr>
        <w:t>INSTITUI O PROGRAMA BOMBEIRO INTEGRADO.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TRIBUTAÇÃO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COMISSÃO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SEGURANÇA </w:t>
      </w:r>
      <w:r>
        <w:rPr>
          <w:b/>
          <w:spacing w:val="-2"/>
          <w:sz w:val="32"/>
        </w:rPr>
        <w:t>PÚBLICA.</w:t>
      </w:r>
    </w:p>
    <w:p>
      <w:pPr>
        <w:spacing w:after="0"/>
        <w:jc w:val="left"/>
        <w:rPr>
          <w:b/>
          <w:sz w:val="32"/>
        </w:rPr>
        <w:sectPr>
          <w:pgSz w:w="12240" w:h="15840"/>
          <w:pgMar w:top="1820" w:bottom="280" w:left="1440" w:right="720"/>
        </w:sectPr>
      </w:pPr>
    </w:p>
    <w:p>
      <w:pPr>
        <w:pStyle w:val="BodyText"/>
        <w:spacing w:before="80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08</w:t>
      </w:r>
    </w:p>
    <w:p>
      <w:pPr>
        <w:pStyle w:val="BodyText"/>
        <w:spacing w:line="368" w:lineRule="exact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2"/>
        </w:rPr>
        <w:t> 729/23.</w:t>
      </w:r>
    </w:p>
    <w:p>
      <w:pPr>
        <w:spacing w:line="240" w:lineRule="auto" w:before="2"/>
        <w:ind w:left="180" w:right="0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141/2023.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ARTS.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21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24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19.173,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18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OUTUBRO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2017,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QUE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DISPÕE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SOBRE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ORGANIZAÇÃO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DA POLÍTICA DA CRIANÇA E DO ADOLESCENTE NO ESTADO DO PARANÁ E DÁ OUTRAS PROVIDÊNCIAS.</w:t>
      </w:r>
    </w:p>
    <w:p>
      <w:pPr>
        <w:pStyle w:val="BodyText"/>
        <w:ind w:right="353"/>
        <w:jc w:val="both"/>
      </w:pPr>
      <w:r>
        <w:rPr/>
        <w:t>PARECERES FAVORÁVEIS DA C.C.J., COMISSÃO DE FINANÇAS E TRIBUTAÇÃO E COMISSÃO DE DEFESA DOS DIREITOS DA CRIANÇA, DO ADOLESCENTE E DA PESSOA COM DEFICIÊNCIA.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2025-05-23T19:25:58Z</dcterms:created>
  <dcterms:modified xsi:type="dcterms:W3CDTF">2025-05-23T19:25:58Z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2013</vt:lpwstr>
  </property>
</Properties>
</file>